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FF" w:rsidRPr="00495F75" w:rsidRDefault="00DB2EFF" w:rsidP="00DB2EFF">
      <w:pPr>
        <w:pStyle w:val="AppendixFlysheetTitles"/>
        <w:jc w:val="left"/>
        <w:rPr>
          <w:rFonts w:ascii="Times New Roman" w:hAnsi="Times New Roman"/>
          <w:b w:val="0"/>
          <w:sz w:val="22"/>
          <w:szCs w:val="22"/>
        </w:rPr>
      </w:pPr>
      <w:r w:rsidRPr="009848BC">
        <w:rPr>
          <w:rFonts w:ascii="Times New Roman" w:hAnsi="Times New Roman"/>
          <w:sz w:val="24"/>
          <w:szCs w:val="24"/>
        </w:rPr>
        <w:t>Applicability:</w:t>
      </w:r>
      <w:r w:rsidRPr="00495F75">
        <w:rPr>
          <w:rFonts w:ascii="Times New Roman" w:hAnsi="Times New Roman"/>
          <w:sz w:val="22"/>
          <w:szCs w:val="22"/>
        </w:rPr>
        <w:t xml:space="preserve">  </w:t>
      </w:r>
      <w:r w:rsidRPr="00495F75">
        <w:rPr>
          <w:rFonts w:ascii="Times New Roman" w:hAnsi="Times New Roman"/>
          <w:b w:val="0"/>
          <w:sz w:val="22"/>
          <w:szCs w:val="22"/>
        </w:rPr>
        <w:t xml:space="preserve">This RSP specifies radiological practices that apply to all work performed in MaCS.  </w:t>
      </w:r>
      <w:r w:rsidR="00013D97">
        <w:rPr>
          <w:rFonts w:ascii="Times New Roman" w:hAnsi="Times New Roman"/>
          <w:b w:val="0"/>
          <w:sz w:val="22"/>
          <w:szCs w:val="22"/>
        </w:rPr>
        <w:t>This RSP specifies technical requirements for implementation of information provided in the CAES Radiological Primer and Lab Orientation.</w:t>
      </w:r>
      <w:r w:rsidRPr="00495F75">
        <w:rPr>
          <w:rFonts w:ascii="Times New Roman" w:hAnsi="Times New Roman"/>
          <w:b w:val="0"/>
          <w:sz w:val="22"/>
          <w:szCs w:val="22"/>
        </w:rPr>
        <w:t xml:space="preserve">  </w:t>
      </w:r>
    </w:p>
    <w:p w:rsidR="00DB2EFF" w:rsidRPr="00495F75" w:rsidRDefault="00DB2EFF" w:rsidP="00DB2EFF">
      <w:pPr>
        <w:pStyle w:val="AppendixFlysheetTitles"/>
        <w:jc w:val="left"/>
        <w:rPr>
          <w:rFonts w:ascii="Times New Roman" w:hAnsi="Times New Roman"/>
          <w:b w:val="0"/>
          <w:color w:val="FF0000"/>
          <w:sz w:val="22"/>
          <w:szCs w:val="22"/>
          <w:u w:val="single"/>
        </w:rPr>
      </w:pPr>
      <w:r w:rsidRPr="00495F75">
        <w:rPr>
          <w:rFonts w:ascii="Times New Roman" w:hAnsi="Times New Roman"/>
          <w:b w:val="0"/>
          <w:sz w:val="22"/>
          <w:szCs w:val="22"/>
        </w:rPr>
        <w:t xml:space="preserve">All MaCS workers are required to read this RSP before their MaCS </w:t>
      </w:r>
      <w:r>
        <w:rPr>
          <w:rFonts w:ascii="Times New Roman" w:hAnsi="Times New Roman"/>
          <w:b w:val="0"/>
          <w:sz w:val="22"/>
          <w:szCs w:val="22"/>
        </w:rPr>
        <w:t xml:space="preserve">walk-thru </w:t>
      </w:r>
      <w:r w:rsidRPr="00495F75">
        <w:rPr>
          <w:rFonts w:ascii="Times New Roman" w:hAnsi="Times New Roman"/>
          <w:b w:val="0"/>
          <w:sz w:val="22"/>
          <w:szCs w:val="22"/>
        </w:rPr>
        <w:t xml:space="preserve">is </w:t>
      </w:r>
      <w:r>
        <w:rPr>
          <w:rFonts w:ascii="Times New Roman" w:hAnsi="Times New Roman"/>
          <w:b w:val="0"/>
          <w:sz w:val="22"/>
          <w:szCs w:val="22"/>
        </w:rPr>
        <w:t>conducted</w:t>
      </w:r>
      <w:r w:rsidRPr="00495F75">
        <w:rPr>
          <w:rFonts w:ascii="Times New Roman" w:hAnsi="Times New Roman"/>
          <w:b w:val="0"/>
          <w:sz w:val="22"/>
          <w:szCs w:val="22"/>
        </w:rPr>
        <w:t>.  The RSP is available on</w:t>
      </w:r>
      <w:r>
        <w:rPr>
          <w:rFonts w:ascii="Times New Roman" w:hAnsi="Times New Roman"/>
          <w:b w:val="0"/>
          <w:sz w:val="22"/>
          <w:szCs w:val="22"/>
        </w:rPr>
        <w:t xml:space="preserve"> the CAES Training Access Management System (</w:t>
      </w:r>
      <w:hyperlink r:id="rId7" w:history="1">
        <w:r w:rsidRPr="00A12F77">
          <w:rPr>
            <w:rStyle w:val="Hyperlink"/>
            <w:rFonts w:ascii="Times New Roman" w:hAnsi="Times New Roman"/>
            <w:b w:val="0"/>
            <w:sz w:val="22"/>
            <w:szCs w:val="22"/>
          </w:rPr>
          <w:t>TAMS</w:t>
        </w:r>
      </w:hyperlink>
      <w:r w:rsidRPr="00A12F77">
        <w:rPr>
          <w:rFonts w:ascii="Times New Roman" w:hAnsi="Times New Roman"/>
          <w:b w:val="0"/>
          <w:sz w:val="22"/>
          <w:szCs w:val="22"/>
          <w:u w:val="single"/>
        </w:rPr>
        <w:t>)</w:t>
      </w:r>
      <w:r>
        <w:rPr>
          <w:rFonts w:ascii="Times New Roman" w:hAnsi="Times New Roman"/>
          <w:b w:val="0"/>
          <w:sz w:val="22"/>
          <w:szCs w:val="22"/>
          <w:u w:val="single"/>
        </w:rPr>
        <w:t>.</w:t>
      </w:r>
      <w:r w:rsidRPr="00A12F77">
        <w:rPr>
          <w:rFonts w:ascii="Times New Roman" w:hAnsi="Times New Roman"/>
          <w:b w:val="0"/>
          <w:sz w:val="22"/>
          <w:szCs w:val="22"/>
          <w:u w:val="single"/>
        </w:rPr>
        <w:t xml:space="preserve"> </w:t>
      </w:r>
    </w:p>
    <w:p w:rsidR="00DB2EFF" w:rsidRPr="00495F75" w:rsidRDefault="00DB2EFF" w:rsidP="00DB2EFF">
      <w:pPr>
        <w:rPr>
          <w:rFonts w:ascii="Times New Roman" w:hAnsi="Times New Roman" w:cs="Times New Roman"/>
        </w:rPr>
      </w:pPr>
      <w:r w:rsidRPr="009848BC">
        <w:rPr>
          <w:rFonts w:ascii="Times New Roman" w:hAnsi="Times New Roman" w:cs="Times New Roman"/>
          <w:b/>
          <w:sz w:val="24"/>
          <w:szCs w:val="24"/>
        </w:rPr>
        <w:t>MaCS Laboratory Designation:</w:t>
      </w:r>
      <w:r w:rsidRPr="00495F75">
        <w:rPr>
          <w:rFonts w:ascii="Times New Roman" w:hAnsi="Times New Roman" w:cs="Times New Roman"/>
        </w:rPr>
        <w:t xml:space="preserve">  The MaCS is comprised of five separate rooms and a common area (i.e., hallways).  </w:t>
      </w:r>
      <w:r>
        <w:rPr>
          <w:rFonts w:ascii="Times New Roman" w:hAnsi="Times New Roman" w:cs="Times New Roman"/>
        </w:rPr>
        <w:t xml:space="preserve">All of </w:t>
      </w:r>
      <w:r w:rsidRPr="00495F75">
        <w:rPr>
          <w:rFonts w:ascii="Times New Roman" w:hAnsi="Times New Roman" w:cs="Times New Roman"/>
        </w:rPr>
        <w:t xml:space="preserve">MaCS </w:t>
      </w:r>
      <w:r>
        <w:rPr>
          <w:rFonts w:ascii="Times New Roman" w:hAnsi="Times New Roman" w:cs="Times New Roman"/>
        </w:rPr>
        <w:t xml:space="preserve">is classified as a </w:t>
      </w:r>
      <w:r w:rsidRPr="00495F75">
        <w:rPr>
          <w:rFonts w:ascii="Times New Roman" w:hAnsi="Times New Roman" w:cs="Times New Roman"/>
        </w:rPr>
        <w:t>radiologically controlled area</w:t>
      </w:r>
      <w:r>
        <w:rPr>
          <w:rFonts w:ascii="Times New Roman" w:hAnsi="Times New Roman" w:cs="Times New Roman"/>
        </w:rPr>
        <w:t>.  As a best practice, all people working in MaCS are required to wear a dosimeter</w:t>
      </w:r>
      <w:r w:rsidRPr="00495F75">
        <w:rPr>
          <w:rFonts w:ascii="Times New Roman" w:hAnsi="Times New Roman" w:cs="Times New Roman"/>
        </w:rPr>
        <w:t xml:space="preserve">.  MaCS hallways </w:t>
      </w:r>
      <w:r>
        <w:rPr>
          <w:rFonts w:ascii="Times New Roman" w:hAnsi="Times New Roman" w:cs="Times New Roman"/>
        </w:rPr>
        <w:t xml:space="preserve">are radiologically controlled areas and </w:t>
      </w:r>
      <w:r w:rsidRPr="00495F75">
        <w:rPr>
          <w:rFonts w:ascii="Times New Roman" w:hAnsi="Times New Roman" w:cs="Times New Roman"/>
        </w:rPr>
        <w:t xml:space="preserve">shall not be used for performing sustaining radiological work.  They may be used for short-term receipt, removal, and movement of radiological materials.  </w:t>
      </w:r>
    </w:p>
    <w:p w:rsidR="00DB2EFF" w:rsidRDefault="00DB2EFF" w:rsidP="00DB2EFF">
      <w:pPr>
        <w:rPr>
          <w:rFonts w:ascii="Times New Roman" w:hAnsi="Times New Roman" w:cs="Times New Roman"/>
        </w:rPr>
      </w:pPr>
      <w:r w:rsidRPr="00495F75">
        <w:rPr>
          <w:rFonts w:ascii="Times New Roman" w:hAnsi="Times New Roman" w:cs="Times New Roman"/>
        </w:rPr>
        <w:t xml:space="preserve">Each MaCS room is classified as a radiologically restricted area when rad materials are in use.  To establish an inner room as a radiologically restricted area (i.e., commence rad work) the following steps are taken: </w:t>
      </w:r>
    </w:p>
    <w:p w:rsidR="00DB2EFF" w:rsidRPr="00495F75" w:rsidRDefault="00DB2EFF" w:rsidP="00DB2EFF">
      <w:pPr>
        <w:ind w:firstLine="720"/>
        <w:rPr>
          <w:rFonts w:ascii="Times New Roman" w:hAnsi="Times New Roman" w:cs="Times New Roman"/>
        </w:rPr>
      </w:pPr>
      <w:r w:rsidRPr="00495F75">
        <w:rPr>
          <w:rFonts w:ascii="Times New Roman" w:hAnsi="Times New Roman" w:cs="Times New Roman"/>
        </w:rPr>
        <w:t xml:space="preserve">Obtain </w:t>
      </w:r>
      <w:r w:rsidR="00CC3748">
        <w:rPr>
          <w:rFonts w:ascii="Times New Roman" w:hAnsi="Times New Roman" w:cs="Times New Roman"/>
        </w:rPr>
        <w:t xml:space="preserve">approval from </w:t>
      </w:r>
      <w:r w:rsidRPr="00495F75">
        <w:rPr>
          <w:rFonts w:ascii="Times New Roman" w:hAnsi="Times New Roman" w:cs="Times New Roman"/>
        </w:rPr>
        <w:t xml:space="preserve">Lab Lead </w:t>
      </w:r>
      <w:r w:rsidR="00CC3748">
        <w:rPr>
          <w:rFonts w:ascii="Times New Roman" w:hAnsi="Times New Roman" w:cs="Times New Roman"/>
        </w:rPr>
        <w:t>or</w:t>
      </w:r>
      <w:r>
        <w:rPr>
          <w:rFonts w:ascii="Times New Roman" w:hAnsi="Times New Roman" w:cs="Times New Roman"/>
        </w:rPr>
        <w:t xml:space="preserve"> CSO </w:t>
      </w:r>
    </w:p>
    <w:p w:rsidR="00DB2EFF" w:rsidRPr="00495F75" w:rsidRDefault="00DB2EFF" w:rsidP="00DB2EFF">
      <w:pPr>
        <w:rPr>
          <w:rFonts w:ascii="Times New Roman" w:hAnsi="Times New Roman" w:cs="Times New Roman"/>
        </w:rPr>
      </w:pPr>
      <w:r w:rsidRPr="00495F75">
        <w:rPr>
          <w:rFonts w:ascii="Times New Roman" w:hAnsi="Times New Roman" w:cs="Times New Roman"/>
        </w:rPr>
        <w:tab/>
        <w:t xml:space="preserve">Post a radiation restricted area sign on </w:t>
      </w:r>
      <w:r>
        <w:rPr>
          <w:rFonts w:ascii="Times New Roman" w:hAnsi="Times New Roman" w:cs="Times New Roman"/>
        </w:rPr>
        <w:t xml:space="preserve">all access </w:t>
      </w:r>
      <w:r w:rsidRPr="00495F75">
        <w:rPr>
          <w:rFonts w:ascii="Times New Roman" w:hAnsi="Times New Roman" w:cs="Times New Roman"/>
        </w:rPr>
        <w:t>door</w:t>
      </w:r>
      <w:r>
        <w:rPr>
          <w:rFonts w:ascii="Times New Roman" w:hAnsi="Times New Roman" w:cs="Times New Roman"/>
        </w:rPr>
        <w:t>s to the laboratory</w:t>
      </w:r>
    </w:p>
    <w:p w:rsidR="00DB2EFF" w:rsidRDefault="00DB2EFF" w:rsidP="00DB2EFF">
      <w:pPr>
        <w:pStyle w:val="BodyText"/>
        <w:ind w:firstLine="0"/>
        <w:rPr>
          <w:szCs w:val="22"/>
        </w:rPr>
      </w:pPr>
      <w:r w:rsidRPr="00495F75">
        <w:rPr>
          <w:szCs w:val="22"/>
        </w:rPr>
        <w:t>A roo</w:t>
      </w:r>
      <w:r>
        <w:rPr>
          <w:szCs w:val="22"/>
        </w:rPr>
        <w:t>m</w:t>
      </w:r>
      <w:r w:rsidRPr="00495F75">
        <w:rPr>
          <w:szCs w:val="22"/>
        </w:rPr>
        <w:t xml:space="preserve"> shall only be declassified as radiologically restricted by the CAES Safety Officer (CSO)</w:t>
      </w:r>
      <w:r>
        <w:rPr>
          <w:szCs w:val="22"/>
        </w:rPr>
        <w:t xml:space="preserve"> </w:t>
      </w:r>
      <w:r w:rsidRPr="00495F75">
        <w:rPr>
          <w:szCs w:val="22"/>
        </w:rPr>
        <w:t>after they have completed and documented surveying and contamination checks on the room and equipment within.  A room shall only be declassified after a survey of the area and equipment has verified it is “clean.” Clean is defined as 70 dpm/100cm</w:t>
      </w:r>
      <w:r w:rsidRPr="00495F75">
        <w:rPr>
          <w:szCs w:val="22"/>
          <w:vertAlign w:val="superscript"/>
        </w:rPr>
        <w:t>2</w:t>
      </w:r>
      <w:r w:rsidRPr="00495F75">
        <w:rPr>
          <w:szCs w:val="22"/>
        </w:rPr>
        <w:t xml:space="preserve"> (</w:t>
      </w:r>
      <w:r>
        <w:rPr>
          <w:szCs w:val="22"/>
        </w:rPr>
        <w:t xml:space="preserve">total or gross </w:t>
      </w:r>
      <w:r w:rsidRPr="00495F75">
        <w:rPr>
          <w:szCs w:val="22"/>
        </w:rPr>
        <w:t>counts-</w:t>
      </w:r>
      <w:r>
        <w:rPr>
          <w:szCs w:val="22"/>
        </w:rPr>
        <w:t>background counts</w:t>
      </w:r>
      <w:r w:rsidRPr="00495F75">
        <w:rPr>
          <w:szCs w:val="22"/>
        </w:rPr>
        <w:t xml:space="preserve">). </w:t>
      </w:r>
    </w:p>
    <w:p w:rsidR="00DB2EFF" w:rsidRDefault="00DB2EFF" w:rsidP="00DB2EFF">
      <w:pPr>
        <w:pStyle w:val="BodyText"/>
        <w:ind w:firstLine="0"/>
        <w:rPr>
          <w:szCs w:val="22"/>
        </w:rPr>
      </w:pPr>
      <w:r w:rsidRPr="00495F75">
        <w:rPr>
          <w:szCs w:val="22"/>
        </w:rPr>
        <w:t>Radiologically Restricted Signage on MaCS rooms may only be removed by the CSO, Lab Lead or designees.</w:t>
      </w:r>
    </w:p>
    <w:p w:rsidR="00DB2EFF" w:rsidRDefault="00DB2EFF" w:rsidP="00DB2EFF">
      <w:pPr>
        <w:pStyle w:val="BodyText"/>
        <w:ind w:firstLine="0"/>
        <w:rPr>
          <w:b/>
          <w:i/>
          <w:szCs w:val="22"/>
        </w:rPr>
      </w:pPr>
    </w:p>
    <w:p w:rsidR="00DB2EFF" w:rsidRPr="00BC40D0" w:rsidRDefault="00DB2EFF" w:rsidP="00DB2EFF">
      <w:pPr>
        <w:pStyle w:val="BodyText"/>
        <w:ind w:firstLine="0"/>
        <w:rPr>
          <w:i/>
          <w:szCs w:val="22"/>
        </w:rPr>
      </w:pPr>
      <w:r w:rsidRPr="00BC40D0">
        <w:rPr>
          <w:b/>
          <w:i/>
          <w:szCs w:val="22"/>
        </w:rPr>
        <w:t>NOTE:</w:t>
      </w:r>
      <w:r w:rsidRPr="00BC40D0">
        <w:rPr>
          <w:i/>
          <w:szCs w:val="22"/>
        </w:rPr>
        <w:t xml:space="preserve">  All postings and signage will be adhered to.  Signage and postings will be subject to change and it is each lab user and worker’s responsibility to check the current status of the MaCS Lab and each room prior to making an entry.</w:t>
      </w:r>
    </w:p>
    <w:p w:rsidR="00DB2EFF" w:rsidRPr="00495F75" w:rsidRDefault="00DB2EFF" w:rsidP="00DB2EFF">
      <w:pPr>
        <w:rPr>
          <w:rFonts w:ascii="Times New Roman" w:hAnsi="Times New Roman" w:cs="Times New Roman"/>
        </w:rPr>
      </w:pPr>
      <w:r w:rsidRPr="00495F75">
        <w:rPr>
          <w:rFonts w:ascii="Times New Roman" w:hAnsi="Times New Roman" w:cs="Times New Roman"/>
        </w:rPr>
        <w:t xml:space="preserve"> </w:t>
      </w:r>
    </w:p>
    <w:p w:rsidR="00DB2EFF" w:rsidRPr="00495F75" w:rsidRDefault="00DB2EFF" w:rsidP="00DB2EFF">
      <w:pPr>
        <w:rPr>
          <w:rFonts w:ascii="Times New Roman" w:hAnsi="Times New Roman" w:cs="Times New Roman"/>
        </w:rPr>
      </w:pPr>
      <w:r w:rsidRPr="009848BC">
        <w:rPr>
          <w:rFonts w:ascii="Times New Roman" w:hAnsi="Times New Roman" w:cs="Times New Roman"/>
          <w:b/>
          <w:sz w:val="24"/>
          <w:szCs w:val="24"/>
        </w:rPr>
        <w:t xml:space="preserve">MaCS Signage and Access:  </w:t>
      </w:r>
      <w:r w:rsidRPr="00495F75">
        <w:rPr>
          <w:rFonts w:ascii="Times New Roman" w:hAnsi="Times New Roman" w:cs="Times New Roman"/>
          <w:b/>
        </w:rPr>
        <w:t>Outer door and MaCS/Materials Inner Door:</w:t>
      </w:r>
      <w:r w:rsidRPr="00495F75">
        <w:rPr>
          <w:rFonts w:ascii="Times New Roman" w:hAnsi="Times New Roman" w:cs="Times New Roman"/>
        </w:rPr>
        <w:t xml:space="preserve">  These two doors are always consistently marked to reflect the status of MaCS.  The two options are:</w:t>
      </w:r>
    </w:p>
    <w:p w:rsidR="00DB2EFF" w:rsidRDefault="00DB2EFF" w:rsidP="00DB2EFF">
      <w:pPr>
        <w:rPr>
          <w:rFonts w:ascii="Times New Roman" w:hAnsi="Times New Roman" w:cs="Times New Roman"/>
        </w:rPr>
      </w:pPr>
      <w:r w:rsidRPr="00495F75">
        <w:rPr>
          <w:rFonts w:ascii="Times New Roman" w:hAnsi="Times New Roman" w:cs="Times New Roman"/>
        </w:rPr>
        <w:t xml:space="preserve">“Radiologically controlled area” signage:  </w:t>
      </w:r>
      <w:r>
        <w:rPr>
          <w:rFonts w:ascii="Times New Roman" w:hAnsi="Times New Roman" w:cs="Times New Roman"/>
        </w:rPr>
        <w:t xml:space="preserve">Indicating </w:t>
      </w:r>
      <w:r w:rsidRPr="00495F75">
        <w:rPr>
          <w:rFonts w:ascii="Times New Roman" w:hAnsi="Times New Roman" w:cs="Times New Roman"/>
        </w:rPr>
        <w:t>all people with unescorted access rights may en</w:t>
      </w:r>
      <w:r>
        <w:rPr>
          <w:rFonts w:ascii="Times New Roman" w:hAnsi="Times New Roman" w:cs="Times New Roman"/>
        </w:rPr>
        <w:t>t</w:t>
      </w:r>
      <w:r w:rsidRPr="00495F75">
        <w:rPr>
          <w:rFonts w:ascii="Times New Roman" w:hAnsi="Times New Roman" w:cs="Times New Roman"/>
        </w:rPr>
        <w:t xml:space="preserve">er the lab; escorted access is allowed.  </w:t>
      </w:r>
    </w:p>
    <w:p w:rsidR="00DB2EFF" w:rsidRDefault="00DB2EFF" w:rsidP="00DB2EFF">
      <w:pPr>
        <w:rPr>
          <w:rFonts w:ascii="Times New Roman" w:hAnsi="Times New Roman" w:cs="Times New Roman"/>
        </w:rPr>
      </w:pPr>
      <w:r w:rsidRPr="00495F75">
        <w:rPr>
          <w:rFonts w:ascii="Times New Roman" w:hAnsi="Times New Roman" w:cs="Times New Roman"/>
        </w:rPr>
        <w:t xml:space="preserve">“Temporarily No Entry by All Personnel– Radiation Materials In Use” signage:  Serves as an administrative control indicating that personnel, even </w:t>
      </w:r>
      <w:r>
        <w:rPr>
          <w:rFonts w:ascii="Times New Roman" w:hAnsi="Times New Roman" w:cs="Times New Roman"/>
        </w:rPr>
        <w:t xml:space="preserve">those </w:t>
      </w:r>
      <w:r w:rsidRPr="00495F75">
        <w:rPr>
          <w:rFonts w:ascii="Times New Roman" w:hAnsi="Times New Roman" w:cs="Times New Roman"/>
        </w:rPr>
        <w:t xml:space="preserve">with approved unescorted access, shall not enter MaCS unless approved by the CSO or Lab Lead.  The signage indicates activities are underway that </w:t>
      </w:r>
      <w:r w:rsidRPr="00495F75">
        <w:rPr>
          <w:rFonts w:ascii="Times New Roman" w:hAnsi="Times New Roman" w:cs="Times New Roman"/>
        </w:rPr>
        <w:lastRenderedPageBreak/>
        <w:t>involve movement or short-term use of radioactive mate</w:t>
      </w:r>
      <w:r>
        <w:rPr>
          <w:rFonts w:ascii="Times New Roman" w:hAnsi="Times New Roman" w:cs="Times New Roman"/>
        </w:rPr>
        <w:t>r</w:t>
      </w:r>
      <w:r w:rsidRPr="00495F75">
        <w:rPr>
          <w:rFonts w:ascii="Times New Roman" w:hAnsi="Times New Roman" w:cs="Times New Roman"/>
        </w:rPr>
        <w:t xml:space="preserve">ials in the hallway; limiting access is </w:t>
      </w:r>
      <w:r>
        <w:rPr>
          <w:rFonts w:ascii="Times New Roman" w:hAnsi="Times New Roman" w:cs="Times New Roman"/>
        </w:rPr>
        <w:t xml:space="preserve">established as </w:t>
      </w:r>
      <w:r w:rsidRPr="00495F75">
        <w:rPr>
          <w:rFonts w:ascii="Times New Roman" w:hAnsi="Times New Roman" w:cs="Times New Roman"/>
        </w:rPr>
        <w:t xml:space="preserve">a sound ALARA practice.  </w:t>
      </w:r>
    </w:p>
    <w:p w:rsidR="00DB2EFF" w:rsidRPr="00495F75" w:rsidRDefault="00DB2EFF" w:rsidP="00DB2EFF">
      <w:pPr>
        <w:rPr>
          <w:rFonts w:ascii="Times New Roman" w:hAnsi="Times New Roman" w:cs="Times New Roman"/>
          <w:b/>
        </w:rPr>
      </w:pPr>
      <w:r w:rsidRPr="00495F75">
        <w:rPr>
          <w:rFonts w:ascii="Times New Roman" w:hAnsi="Times New Roman" w:cs="Times New Roman"/>
        </w:rPr>
        <w:tab/>
      </w:r>
      <w:r w:rsidRPr="00495F75">
        <w:rPr>
          <w:rFonts w:ascii="Times New Roman" w:hAnsi="Times New Roman" w:cs="Times New Roman"/>
          <w:b/>
        </w:rPr>
        <w:t xml:space="preserve">Inner room Doors: </w:t>
      </w:r>
    </w:p>
    <w:p w:rsidR="00DB2EFF" w:rsidRDefault="00DB2EFF" w:rsidP="00DB2EFF">
      <w:pPr>
        <w:rPr>
          <w:rFonts w:ascii="Times New Roman" w:hAnsi="Times New Roman" w:cs="Times New Roman"/>
        </w:rPr>
      </w:pPr>
      <w:r w:rsidRPr="00495F75">
        <w:rPr>
          <w:rFonts w:ascii="Times New Roman" w:hAnsi="Times New Roman" w:cs="Times New Roman"/>
        </w:rPr>
        <w:t>No signage:</w:t>
      </w:r>
      <w:r w:rsidRPr="00495F75">
        <w:rPr>
          <w:rFonts w:ascii="Times New Roman" w:hAnsi="Times New Roman" w:cs="Times New Roman"/>
          <w:b/>
        </w:rPr>
        <w:t xml:space="preserve">  </w:t>
      </w:r>
      <w:r w:rsidRPr="00495F75">
        <w:rPr>
          <w:rFonts w:ascii="Times New Roman" w:hAnsi="Times New Roman" w:cs="Times New Roman"/>
        </w:rPr>
        <w:t xml:space="preserve">Meaning </w:t>
      </w:r>
      <w:r>
        <w:rPr>
          <w:rFonts w:ascii="Times New Roman" w:hAnsi="Times New Roman" w:cs="Times New Roman"/>
        </w:rPr>
        <w:t xml:space="preserve">the room may be accessed by all personnel.  </w:t>
      </w:r>
    </w:p>
    <w:p w:rsidR="00DB2EFF" w:rsidRDefault="00DB2EFF" w:rsidP="00DB2EFF">
      <w:pPr>
        <w:rPr>
          <w:rFonts w:ascii="Times New Roman" w:hAnsi="Times New Roman" w:cs="Times New Roman"/>
        </w:rPr>
      </w:pPr>
      <w:r w:rsidRPr="00495F75">
        <w:rPr>
          <w:rFonts w:ascii="Times New Roman" w:hAnsi="Times New Roman" w:cs="Times New Roman"/>
        </w:rPr>
        <w:t>“Approved Access Only- Radiation Materials in Use” signage:   Serves as an administrative control indicating that only personnel</w:t>
      </w:r>
      <w:r w:rsidR="00CC3748">
        <w:rPr>
          <w:rFonts w:ascii="Times New Roman" w:hAnsi="Times New Roman" w:cs="Times New Roman"/>
        </w:rPr>
        <w:t xml:space="preserve"> approved by the CS</w:t>
      </w:r>
      <w:r>
        <w:rPr>
          <w:rFonts w:ascii="Times New Roman" w:hAnsi="Times New Roman" w:cs="Times New Roman"/>
        </w:rPr>
        <w:t>O or Lab Lead for the activity in progress may enter the room.  Other personnel a</w:t>
      </w:r>
      <w:r w:rsidRPr="00495F75">
        <w:rPr>
          <w:rFonts w:ascii="Times New Roman" w:hAnsi="Times New Roman" w:cs="Times New Roman"/>
        </w:rPr>
        <w:t xml:space="preserve">pproved as </w:t>
      </w:r>
      <w:r>
        <w:rPr>
          <w:rFonts w:ascii="Times New Roman" w:hAnsi="Times New Roman" w:cs="Times New Roman"/>
        </w:rPr>
        <w:t xml:space="preserve">unescorted </w:t>
      </w:r>
      <w:r w:rsidRPr="00495F75">
        <w:rPr>
          <w:rFonts w:ascii="Times New Roman" w:hAnsi="Times New Roman" w:cs="Times New Roman"/>
        </w:rPr>
        <w:t>radiation workers shall not enter the room</w:t>
      </w:r>
      <w:r>
        <w:rPr>
          <w:rFonts w:ascii="Times New Roman" w:hAnsi="Times New Roman" w:cs="Times New Roman"/>
        </w:rPr>
        <w:t xml:space="preserve">.  </w:t>
      </w:r>
      <w:r w:rsidRPr="00495F75">
        <w:rPr>
          <w:rFonts w:ascii="Times New Roman" w:hAnsi="Times New Roman" w:cs="Times New Roman"/>
        </w:rPr>
        <w:t xml:space="preserve"> </w:t>
      </w:r>
    </w:p>
    <w:p w:rsidR="00DB2EFF" w:rsidRPr="00495F75" w:rsidRDefault="00DB2EFF" w:rsidP="00DB2EFF">
      <w:pPr>
        <w:ind w:firstLine="720"/>
        <w:rPr>
          <w:rFonts w:ascii="Times New Roman" w:hAnsi="Times New Roman" w:cs="Times New Roman"/>
        </w:rPr>
      </w:pPr>
      <w:r w:rsidRPr="00495F75">
        <w:rPr>
          <w:rFonts w:ascii="Times New Roman" w:hAnsi="Times New Roman" w:cs="Times New Roman"/>
          <w:b/>
        </w:rPr>
        <w:t xml:space="preserve"> </w:t>
      </w:r>
      <w:r w:rsidRPr="00495F75">
        <w:rPr>
          <w:rFonts w:ascii="Times New Roman" w:hAnsi="Times New Roman" w:cs="Times New Roman"/>
        </w:rPr>
        <w:t xml:space="preserve"> </w:t>
      </w:r>
    </w:p>
    <w:p w:rsidR="00DB2EFF" w:rsidRPr="009848BC" w:rsidRDefault="00DB2EFF" w:rsidP="00DB2EFF">
      <w:pPr>
        <w:pStyle w:val="AppendixFlysheetTitles"/>
        <w:jc w:val="left"/>
        <w:rPr>
          <w:rFonts w:ascii="Times New Roman" w:hAnsi="Times New Roman"/>
          <w:sz w:val="24"/>
          <w:szCs w:val="24"/>
        </w:rPr>
      </w:pPr>
      <w:r w:rsidRPr="009848BC">
        <w:rPr>
          <w:rFonts w:ascii="Times New Roman" w:hAnsi="Times New Roman"/>
          <w:sz w:val="24"/>
          <w:szCs w:val="24"/>
        </w:rPr>
        <w:t xml:space="preserve">Material, Receipt, Removal and Accountability: </w:t>
      </w:r>
    </w:p>
    <w:p w:rsidR="00DB2EFF" w:rsidRPr="00495F75" w:rsidRDefault="00DB2EFF" w:rsidP="00DB2EFF">
      <w:pPr>
        <w:pStyle w:val="AppendixFlysheetTitles"/>
        <w:jc w:val="left"/>
        <w:rPr>
          <w:rFonts w:ascii="Times New Roman" w:hAnsi="Times New Roman"/>
          <w:sz w:val="22"/>
          <w:szCs w:val="22"/>
        </w:rPr>
      </w:pPr>
      <w:r w:rsidRPr="00495F75">
        <w:rPr>
          <w:rFonts w:ascii="Times New Roman" w:hAnsi="Times New Roman"/>
          <w:sz w:val="22"/>
          <w:szCs w:val="22"/>
        </w:rPr>
        <w:t xml:space="preserve">Material receipt and removal:  </w:t>
      </w:r>
      <w:r w:rsidRPr="00495F75">
        <w:rPr>
          <w:rFonts w:ascii="Times New Roman" w:hAnsi="Times New Roman"/>
          <w:b w:val="0"/>
          <w:sz w:val="22"/>
          <w:szCs w:val="22"/>
        </w:rPr>
        <w:t xml:space="preserve">May only </w:t>
      </w:r>
      <w:proofErr w:type="gramStart"/>
      <w:r w:rsidRPr="00495F75">
        <w:rPr>
          <w:rFonts w:ascii="Times New Roman" w:hAnsi="Times New Roman"/>
          <w:b w:val="0"/>
          <w:sz w:val="22"/>
          <w:szCs w:val="22"/>
        </w:rPr>
        <w:t>be</w:t>
      </w:r>
      <w:proofErr w:type="gramEnd"/>
      <w:r w:rsidRPr="00495F75">
        <w:rPr>
          <w:rFonts w:ascii="Times New Roman" w:hAnsi="Times New Roman"/>
          <w:b w:val="0"/>
          <w:sz w:val="22"/>
          <w:szCs w:val="22"/>
        </w:rPr>
        <w:t xml:space="preserve"> performed by CAES CSO or designees in accordance with </w:t>
      </w:r>
      <w:hyperlink r:id="rId8" w:history="1">
        <w:r w:rsidR="004E3A2C" w:rsidRPr="00B21176">
          <w:rPr>
            <w:rStyle w:val="Hyperlink"/>
            <w:rFonts w:ascii="Times New Roman" w:hAnsi="Times New Roman"/>
            <w:b w:val="0"/>
            <w:sz w:val="22"/>
            <w:szCs w:val="22"/>
          </w:rPr>
          <w:t>RSP-0</w:t>
        </w:r>
        <w:r w:rsidR="00013D97" w:rsidRPr="00B21176">
          <w:rPr>
            <w:rStyle w:val="Hyperlink"/>
            <w:rFonts w:ascii="Times New Roman" w:hAnsi="Times New Roman"/>
            <w:b w:val="0"/>
            <w:sz w:val="22"/>
            <w:szCs w:val="22"/>
          </w:rPr>
          <w:t>04</w:t>
        </w:r>
        <w:r w:rsidRPr="00B21176">
          <w:rPr>
            <w:rStyle w:val="Hyperlink"/>
            <w:rFonts w:ascii="Times New Roman" w:hAnsi="Times New Roman"/>
            <w:b w:val="0"/>
            <w:sz w:val="22"/>
            <w:szCs w:val="22"/>
          </w:rPr>
          <w:t xml:space="preserve"> </w:t>
        </w:r>
        <w:r w:rsidR="00B21176" w:rsidRPr="00B21176">
          <w:rPr>
            <w:rStyle w:val="Hyperlink"/>
            <w:rFonts w:ascii="Times New Roman" w:hAnsi="Times New Roman"/>
            <w:b w:val="0"/>
            <w:sz w:val="22"/>
            <w:szCs w:val="22"/>
          </w:rPr>
          <w:t>CAES Protocol for Delivery, Movement or Removal of R</w:t>
        </w:r>
        <w:r w:rsidR="00B21176" w:rsidRPr="00B21176">
          <w:rPr>
            <w:rStyle w:val="Hyperlink"/>
            <w:rFonts w:ascii="Times New Roman" w:hAnsi="Times New Roman"/>
            <w:b w:val="0"/>
            <w:sz w:val="22"/>
            <w:szCs w:val="22"/>
          </w:rPr>
          <w:t>a</w:t>
        </w:r>
        <w:r w:rsidR="00B21176" w:rsidRPr="00B21176">
          <w:rPr>
            <w:rStyle w:val="Hyperlink"/>
            <w:rFonts w:ascii="Times New Roman" w:hAnsi="Times New Roman"/>
            <w:b w:val="0"/>
            <w:sz w:val="22"/>
            <w:szCs w:val="22"/>
          </w:rPr>
          <w:t>diological Materials from CAES</w:t>
        </w:r>
      </w:hyperlink>
      <w:r w:rsidRPr="00922944">
        <w:rPr>
          <w:rFonts w:ascii="Times New Roman" w:hAnsi="Times New Roman"/>
          <w:b w:val="0"/>
          <w:sz w:val="22"/>
          <w:szCs w:val="22"/>
        </w:rPr>
        <w:t>.</w:t>
      </w:r>
    </w:p>
    <w:p w:rsidR="00DB2EFF" w:rsidRDefault="00DB2EFF" w:rsidP="00DB2EFF">
      <w:pPr>
        <w:pStyle w:val="AppendixFlysheetTitles"/>
        <w:jc w:val="left"/>
        <w:rPr>
          <w:rFonts w:ascii="Times New Roman" w:hAnsi="Times New Roman"/>
          <w:sz w:val="22"/>
          <w:szCs w:val="22"/>
        </w:rPr>
      </w:pPr>
      <w:r w:rsidRPr="00495F75">
        <w:rPr>
          <w:rFonts w:ascii="Times New Roman" w:hAnsi="Times New Roman"/>
          <w:sz w:val="22"/>
          <w:szCs w:val="22"/>
        </w:rPr>
        <w:t>Material Accountability</w:t>
      </w:r>
      <w:r>
        <w:rPr>
          <w:rFonts w:ascii="Times New Roman" w:hAnsi="Times New Roman"/>
          <w:sz w:val="22"/>
          <w:szCs w:val="22"/>
        </w:rPr>
        <w:t>:</w:t>
      </w:r>
    </w:p>
    <w:p w:rsidR="00DB2EFF" w:rsidRDefault="00DB2EFF" w:rsidP="00DB2EFF">
      <w:pPr>
        <w:pStyle w:val="AppendixFlysheetTitles"/>
        <w:jc w:val="left"/>
        <w:rPr>
          <w:rFonts w:ascii="Times New Roman" w:hAnsi="Times New Roman"/>
          <w:b w:val="0"/>
          <w:sz w:val="22"/>
          <w:szCs w:val="22"/>
        </w:rPr>
      </w:pPr>
      <w:r>
        <w:rPr>
          <w:rFonts w:ascii="Times New Roman" w:hAnsi="Times New Roman"/>
          <w:sz w:val="22"/>
          <w:szCs w:val="22"/>
        </w:rPr>
        <w:t xml:space="preserve">Material Tracking Logbook:  </w:t>
      </w:r>
      <w:r>
        <w:rPr>
          <w:rFonts w:ascii="Times New Roman" w:hAnsi="Times New Roman"/>
          <w:b w:val="0"/>
          <w:sz w:val="22"/>
          <w:szCs w:val="22"/>
        </w:rPr>
        <w:t xml:space="preserve">Serves as a tool for maintaining material accountability.  An entry is required in the logbook when a person takes possession of rad materials or moves the materials to a different location. </w:t>
      </w:r>
      <w:r w:rsidR="004E3A2C">
        <w:rPr>
          <w:rFonts w:ascii="Times New Roman" w:hAnsi="Times New Roman"/>
          <w:b w:val="0"/>
          <w:sz w:val="22"/>
          <w:szCs w:val="22"/>
        </w:rPr>
        <w:t xml:space="preserve"> </w:t>
      </w:r>
      <w:r w:rsidRPr="004E3A2C">
        <w:rPr>
          <w:rFonts w:ascii="Times New Roman" w:hAnsi="Times New Roman"/>
          <w:b w:val="0"/>
          <w:sz w:val="22"/>
          <w:szCs w:val="22"/>
        </w:rPr>
        <w:t>Movement of rad materials within MaCS</w:t>
      </w:r>
      <w:r w:rsidR="004E3A2C">
        <w:rPr>
          <w:rFonts w:ascii="Times New Roman" w:hAnsi="Times New Roman"/>
          <w:b w:val="0"/>
          <w:sz w:val="22"/>
          <w:szCs w:val="22"/>
        </w:rPr>
        <w:t xml:space="preserve"> i</w:t>
      </w:r>
      <w:r>
        <w:rPr>
          <w:rFonts w:ascii="Times New Roman" w:hAnsi="Times New Roman"/>
          <w:b w:val="0"/>
          <w:sz w:val="22"/>
          <w:szCs w:val="22"/>
        </w:rPr>
        <w:t>s defined as any movement of materials between the hallway (e.g., rad safe) and a room or between two rooms.  All rad material movement requires the following:</w:t>
      </w:r>
    </w:p>
    <w:p w:rsidR="00DB2EFF" w:rsidRDefault="00DB2EFF" w:rsidP="00DB2EFF">
      <w:pPr>
        <w:pStyle w:val="AppendixFlysheetTitles"/>
        <w:numPr>
          <w:ilvl w:val="0"/>
          <w:numId w:val="3"/>
        </w:numPr>
        <w:jc w:val="left"/>
        <w:rPr>
          <w:rFonts w:ascii="Times New Roman" w:hAnsi="Times New Roman"/>
          <w:b w:val="0"/>
          <w:sz w:val="22"/>
          <w:szCs w:val="22"/>
        </w:rPr>
      </w:pPr>
      <w:r>
        <w:rPr>
          <w:rFonts w:ascii="Times New Roman" w:hAnsi="Times New Roman"/>
          <w:b w:val="0"/>
          <w:sz w:val="22"/>
          <w:szCs w:val="22"/>
        </w:rPr>
        <w:t>Pri</w:t>
      </w:r>
      <w:r w:rsidR="004E3A2C">
        <w:rPr>
          <w:rFonts w:ascii="Times New Roman" w:hAnsi="Times New Roman"/>
          <w:b w:val="0"/>
          <w:sz w:val="22"/>
          <w:szCs w:val="22"/>
        </w:rPr>
        <w:t xml:space="preserve">or approval of the Lab Lead or CSO </w:t>
      </w:r>
      <w:r>
        <w:rPr>
          <w:rFonts w:ascii="Times New Roman" w:hAnsi="Times New Roman"/>
          <w:b w:val="0"/>
          <w:sz w:val="22"/>
          <w:szCs w:val="22"/>
        </w:rPr>
        <w:t xml:space="preserve"> </w:t>
      </w:r>
    </w:p>
    <w:p w:rsidR="00DB2EFF" w:rsidRDefault="00DB2EFF" w:rsidP="00DB2EFF">
      <w:pPr>
        <w:pStyle w:val="AppendixFlysheetTitles"/>
        <w:numPr>
          <w:ilvl w:val="0"/>
          <w:numId w:val="3"/>
        </w:numPr>
        <w:jc w:val="left"/>
        <w:rPr>
          <w:rFonts w:ascii="Times New Roman" w:hAnsi="Times New Roman"/>
          <w:b w:val="0"/>
          <w:sz w:val="22"/>
          <w:szCs w:val="22"/>
        </w:rPr>
      </w:pPr>
      <w:r>
        <w:rPr>
          <w:rFonts w:ascii="Times New Roman" w:hAnsi="Times New Roman"/>
          <w:b w:val="0"/>
          <w:sz w:val="22"/>
          <w:szCs w:val="22"/>
        </w:rPr>
        <w:t>Entry of the action in the Material Tracking Logbook</w:t>
      </w:r>
    </w:p>
    <w:p w:rsidR="00DB2EFF" w:rsidRPr="007C7A27" w:rsidRDefault="00DB2EFF" w:rsidP="00DB2EFF">
      <w:pPr>
        <w:pStyle w:val="AppendixFlysheetTitles"/>
        <w:numPr>
          <w:ilvl w:val="0"/>
          <w:numId w:val="3"/>
        </w:numPr>
        <w:jc w:val="left"/>
        <w:rPr>
          <w:rFonts w:ascii="Times New Roman" w:hAnsi="Times New Roman"/>
          <w:b w:val="0"/>
          <w:sz w:val="22"/>
          <w:szCs w:val="22"/>
        </w:rPr>
      </w:pPr>
      <w:r>
        <w:rPr>
          <w:rFonts w:ascii="Times New Roman" w:hAnsi="Times New Roman"/>
          <w:b w:val="0"/>
          <w:sz w:val="22"/>
          <w:szCs w:val="22"/>
        </w:rPr>
        <w:t>Handling and PPE as specified by the CSO for the activity</w:t>
      </w:r>
    </w:p>
    <w:p w:rsidR="00DB2EFF" w:rsidRDefault="00DB2EFF" w:rsidP="00DB2EFF">
      <w:pPr>
        <w:autoSpaceDE w:val="0"/>
        <w:autoSpaceDN w:val="0"/>
        <w:adjustRightInd w:val="0"/>
        <w:spacing w:after="0" w:line="240" w:lineRule="auto"/>
        <w:rPr>
          <w:rFonts w:ascii="Times New Roman" w:hAnsi="Times New Roman" w:cs="Times New Roman"/>
          <w:i/>
          <w:iCs/>
        </w:rPr>
      </w:pPr>
      <w:r w:rsidRPr="00A351FF">
        <w:rPr>
          <w:rFonts w:ascii="Times New Roman" w:hAnsi="Times New Roman" w:cs="Times New Roman"/>
          <w:b/>
        </w:rPr>
        <w:t>Movement</w:t>
      </w:r>
      <w:r w:rsidRPr="00A351FF">
        <w:rPr>
          <w:rFonts w:ascii="Times New Roman" w:hAnsi="Times New Roman"/>
          <w:b/>
        </w:rPr>
        <w:t xml:space="preserve"> of materials between Materials and MaCS labs:</w:t>
      </w:r>
      <w:r>
        <w:rPr>
          <w:rFonts w:ascii="Times New Roman" w:hAnsi="Times New Roman"/>
        </w:rPr>
        <w:t xml:space="preserve">  </w:t>
      </w:r>
      <w:r>
        <w:rPr>
          <w:rFonts w:ascii="Times New Roman" w:hAnsi="Times New Roman" w:cs="Times New Roman"/>
          <w:i/>
          <w:iCs/>
        </w:rPr>
        <w:t xml:space="preserve">Because a significant portion of the Advanced Materials and MaCS radiological work involves the same materials that are processed in different stages of a single process, one inventory is maintained for these two labs. Therefore, movement of materials between the two labs using the inner door between these two labs only requires a note in the materials tracking logbook and not a change in the lab inventory database.  </w:t>
      </w:r>
    </w:p>
    <w:p w:rsidR="00DB2EFF" w:rsidRPr="00495F75" w:rsidRDefault="00DB2EFF" w:rsidP="00DB2EFF">
      <w:pPr>
        <w:pStyle w:val="AppendixFlysheetTitles"/>
        <w:jc w:val="left"/>
        <w:rPr>
          <w:rFonts w:ascii="Times New Roman" w:hAnsi="Times New Roman"/>
          <w:sz w:val="22"/>
          <w:szCs w:val="22"/>
        </w:rPr>
      </w:pPr>
    </w:p>
    <w:p w:rsidR="00DB2EFF" w:rsidRDefault="00DB2EFF" w:rsidP="00DB2EFF">
      <w:pPr>
        <w:pStyle w:val="AppendixFlysheetTitles"/>
        <w:jc w:val="left"/>
        <w:rPr>
          <w:rFonts w:ascii="Times New Roman" w:hAnsi="Times New Roman"/>
          <w:sz w:val="24"/>
          <w:szCs w:val="24"/>
        </w:rPr>
      </w:pPr>
    </w:p>
    <w:p w:rsidR="00DB2EFF" w:rsidRDefault="00DB2EFF" w:rsidP="00DB2EFF">
      <w:pPr>
        <w:pStyle w:val="AppendixFlysheetTitles"/>
        <w:jc w:val="left"/>
        <w:rPr>
          <w:rFonts w:ascii="Times New Roman" w:hAnsi="Times New Roman"/>
          <w:sz w:val="24"/>
          <w:szCs w:val="24"/>
        </w:rPr>
      </w:pPr>
    </w:p>
    <w:p w:rsidR="00DB2EFF" w:rsidRDefault="00DB2EFF" w:rsidP="00DB2EFF">
      <w:pPr>
        <w:pStyle w:val="AppendixFlysheetTitles"/>
        <w:jc w:val="left"/>
        <w:rPr>
          <w:rFonts w:ascii="Times New Roman" w:hAnsi="Times New Roman"/>
          <w:sz w:val="24"/>
          <w:szCs w:val="24"/>
        </w:rPr>
      </w:pPr>
    </w:p>
    <w:p w:rsidR="00623E03" w:rsidRDefault="00623E03" w:rsidP="00DB2EFF">
      <w:pPr>
        <w:pStyle w:val="AppendixFlysheetTitles"/>
        <w:jc w:val="left"/>
        <w:rPr>
          <w:rFonts w:ascii="Times New Roman" w:hAnsi="Times New Roman"/>
          <w:sz w:val="24"/>
          <w:szCs w:val="24"/>
        </w:rPr>
      </w:pPr>
    </w:p>
    <w:p w:rsidR="00DB2EFF" w:rsidRPr="009848BC" w:rsidRDefault="00DB2EFF" w:rsidP="00DB2EFF">
      <w:pPr>
        <w:pStyle w:val="AppendixFlysheetTitles"/>
        <w:jc w:val="left"/>
        <w:rPr>
          <w:rFonts w:ascii="Times New Roman" w:hAnsi="Times New Roman"/>
          <w:sz w:val="24"/>
          <w:szCs w:val="24"/>
        </w:rPr>
      </w:pPr>
      <w:r w:rsidRPr="009848BC">
        <w:rPr>
          <w:rFonts w:ascii="Times New Roman" w:hAnsi="Times New Roman"/>
          <w:sz w:val="24"/>
          <w:szCs w:val="24"/>
        </w:rPr>
        <w:lastRenderedPageBreak/>
        <w:t>Training and Personnel Protection</w:t>
      </w:r>
      <w:r>
        <w:rPr>
          <w:rFonts w:ascii="Times New Roman" w:hAnsi="Times New Roman"/>
          <w:sz w:val="24"/>
          <w:szCs w:val="24"/>
        </w:rPr>
        <w:t>:</w:t>
      </w:r>
    </w:p>
    <w:p w:rsidR="00DB2EFF" w:rsidRDefault="00DB2EFF" w:rsidP="00922944">
      <w:pPr>
        <w:pStyle w:val="BodyText"/>
        <w:ind w:left="540" w:firstLine="0"/>
        <w:rPr>
          <w:b/>
          <w:szCs w:val="22"/>
        </w:rPr>
      </w:pPr>
      <w:r>
        <w:rPr>
          <w:b/>
          <w:szCs w:val="22"/>
        </w:rPr>
        <w:t xml:space="preserve">General Access Training: </w:t>
      </w:r>
      <w:r>
        <w:rPr>
          <w:szCs w:val="22"/>
        </w:rPr>
        <w:t xml:space="preserve">Because dosimeters are required for all personnel who access MaCS, all unescorted access personnel must complete online </w:t>
      </w:r>
      <w:hyperlink r:id="rId9" w:history="1">
        <w:r w:rsidRPr="00A12F77">
          <w:rPr>
            <w:rStyle w:val="Hyperlink"/>
            <w:szCs w:val="22"/>
          </w:rPr>
          <w:t>ISU Radiation Safety Training</w:t>
        </w:r>
      </w:hyperlink>
      <w:r w:rsidRPr="00DD5232">
        <w:rPr>
          <w:szCs w:val="22"/>
        </w:rPr>
        <w:t xml:space="preserve">. </w:t>
      </w:r>
      <w:r>
        <w:rPr>
          <w:szCs w:val="22"/>
        </w:rPr>
        <w:t xml:space="preserve"> </w:t>
      </w:r>
      <w:r>
        <w:rPr>
          <w:b/>
          <w:szCs w:val="22"/>
        </w:rPr>
        <w:t xml:space="preserve"> </w:t>
      </w:r>
    </w:p>
    <w:p w:rsidR="00DB2EFF" w:rsidRPr="00495F75" w:rsidRDefault="00DB2EFF" w:rsidP="00922944">
      <w:pPr>
        <w:pStyle w:val="BodyText"/>
        <w:ind w:left="540" w:firstLine="0"/>
        <w:rPr>
          <w:szCs w:val="22"/>
        </w:rPr>
      </w:pPr>
      <w:r w:rsidRPr="00495F75">
        <w:rPr>
          <w:b/>
          <w:szCs w:val="22"/>
        </w:rPr>
        <w:t>Instrument Qualification:</w:t>
      </w:r>
      <w:r w:rsidRPr="00495F75">
        <w:rPr>
          <w:szCs w:val="22"/>
        </w:rPr>
        <w:t xml:space="preserve"> Instrument Lead</w:t>
      </w:r>
      <w:r>
        <w:rPr>
          <w:szCs w:val="22"/>
        </w:rPr>
        <w:t>s</w:t>
      </w:r>
      <w:r w:rsidRPr="00495F75">
        <w:rPr>
          <w:szCs w:val="22"/>
        </w:rPr>
        <w:t xml:space="preserve"> administers a checklist and d</w:t>
      </w:r>
      <w:r>
        <w:rPr>
          <w:szCs w:val="22"/>
        </w:rPr>
        <w:t>ocuments process using CAES -054</w:t>
      </w:r>
      <w:r w:rsidRPr="00495F75">
        <w:rPr>
          <w:szCs w:val="22"/>
        </w:rPr>
        <w:t>, CAES Researcher Controlled Activity</w:t>
      </w:r>
      <w:r>
        <w:rPr>
          <w:szCs w:val="22"/>
        </w:rPr>
        <w:t xml:space="preserve">.  </w:t>
      </w:r>
      <w:r w:rsidRPr="00495F75">
        <w:rPr>
          <w:szCs w:val="22"/>
        </w:rPr>
        <w:t>Only people who have completed this qualification process are authorized to operate instruments independently.</w:t>
      </w:r>
    </w:p>
    <w:p w:rsidR="00DB2EFF" w:rsidRPr="008F5A0B" w:rsidRDefault="00DB2EFF" w:rsidP="00922944">
      <w:pPr>
        <w:pStyle w:val="AppendixFlysheetTitles"/>
        <w:ind w:left="540"/>
        <w:jc w:val="left"/>
        <w:rPr>
          <w:rFonts w:ascii="Times New Roman" w:hAnsi="Times New Roman"/>
          <w:b w:val="0"/>
          <w:sz w:val="22"/>
          <w:szCs w:val="22"/>
        </w:rPr>
      </w:pPr>
      <w:r w:rsidRPr="00495F75">
        <w:rPr>
          <w:rFonts w:ascii="Times New Roman" w:hAnsi="Times New Roman"/>
          <w:sz w:val="22"/>
          <w:szCs w:val="22"/>
        </w:rPr>
        <w:t xml:space="preserve">PPE Requirements: </w:t>
      </w:r>
      <w:r>
        <w:rPr>
          <w:rFonts w:ascii="Times New Roman" w:hAnsi="Times New Roman"/>
          <w:b w:val="0"/>
          <w:sz w:val="22"/>
          <w:szCs w:val="22"/>
        </w:rPr>
        <w:t xml:space="preserve">Practices that govern handling of rad samples and materials include:  </w:t>
      </w:r>
    </w:p>
    <w:p w:rsidR="00DB2EFF" w:rsidRDefault="00DB2EFF" w:rsidP="00922944">
      <w:pPr>
        <w:pStyle w:val="BodyText"/>
        <w:ind w:left="540" w:firstLine="0"/>
        <w:rPr>
          <w:bCs/>
          <w:szCs w:val="22"/>
        </w:rPr>
      </w:pPr>
      <w:r>
        <w:rPr>
          <w:szCs w:val="22"/>
        </w:rPr>
        <w:t>Good ALARA practices should be conducted at all times when working with radiological samples. When possible, personnel should not come in direct contact with the radiological samples, when reasonable samples should be handled by using tweezers or a similar tool.</w:t>
      </w:r>
      <w:r>
        <w:rPr>
          <w:bCs/>
          <w:szCs w:val="22"/>
        </w:rPr>
        <w:t xml:space="preserve">  In addition, whenever possible pre-stage tools, and set up your work area prior to introducing radiological samples to the area.  </w:t>
      </w:r>
    </w:p>
    <w:p w:rsidR="00DB2EFF" w:rsidRPr="00BB790D" w:rsidRDefault="00DB2EFF" w:rsidP="00922944">
      <w:pPr>
        <w:pStyle w:val="BodyText"/>
        <w:ind w:left="540" w:firstLine="0"/>
        <w:rPr>
          <w:bCs/>
          <w:i/>
          <w:szCs w:val="22"/>
        </w:rPr>
      </w:pPr>
      <w:r w:rsidRPr="00BB790D">
        <w:rPr>
          <w:b/>
          <w:bCs/>
          <w:i/>
          <w:szCs w:val="22"/>
        </w:rPr>
        <w:t>NOTE:</w:t>
      </w:r>
      <w:r w:rsidRPr="00BB790D">
        <w:rPr>
          <w:bCs/>
          <w:i/>
          <w:szCs w:val="22"/>
        </w:rPr>
        <w:t xml:space="preserve">  Internal contamination occurs when unprotected personnel ingest, inhale or have wounds (open cuts, scratches etc.) that become contaminated with radioactive material.  Be sure to cover all open wounds prior to entering any radiologically controlled areas or handling radiological materials.</w:t>
      </w:r>
    </w:p>
    <w:p w:rsidR="00DB2EFF" w:rsidRPr="00495F75" w:rsidRDefault="00DB2EFF" w:rsidP="00922944">
      <w:pPr>
        <w:pStyle w:val="BodyText"/>
        <w:ind w:firstLine="540"/>
        <w:rPr>
          <w:szCs w:val="22"/>
        </w:rPr>
      </w:pPr>
      <w:r w:rsidRPr="006816C8">
        <w:rPr>
          <w:bCs/>
          <w:szCs w:val="22"/>
        </w:rPr>
        <w:t>The basic</w:t>
      </w:r>
      <w:r w:rsidRPr="00495F75">
        <w:rPr>
          <w:szCs w:val="22"/>
        </w:rPr>
        <w:t xml:space="preserve"> protocol for </w:t>
      </w:r>
      <w:r>
        <w:rPr>
          <w:szCs w:val="22"/>
        </w:rPr>
        <w:t xml:space="preserve">handling samples and </w:t>
      </w:r>
      <w:r w:rsidRPr="00495F75">
        <w:rPr>
          <w:szCs w:val="22"/>
        </w:rPr>
        <w:t>when to don and doff gloves is as follows:</w:t>
      </w:r>
    </w:p>
    <w:p w:rsidR="00DB2EFF" w:rsidRDefault="00DB2EFF" w:rsidP="00922944">
      <w:pPr>
        <w:pStyle w:val="ListBullet"/>
        <w:numPr>
          <w:ilvl w:val="0"/>
          <w:numId w:val="5"/>
        </w:numPr>
        <w:ind w:left="1440"/>
        <w:rPr>
          <w:szCs w:val="22"/>
        </w:rPr>
      </w:pPr>
      <w:r w:rsidRPr="00495F75">
        <w:rPr>
          <w:szCs w:val="22"/>
        </w:rPr>
        <w:t xml:space="preserve">Don </w:t>
      </w:r>
      <w:r>
        <w:rPr>
          <w:szCs w:val="22"/>
        </w:rPr>
        <w:t xml:space="preserve">first pair of gloves. </w:t>
      </w:r>
    </w:p>
    <w:p w:rsidR="00DB2EFF" w:rsidRDefault="00DB2EFF" w:rsidP="00922944">
      <w:pPr>
        <w:pStyle w:val="ListBullet"/>
        <w:numPr>
          <w:ilvl w:val="0"/>
          <w:numId w:val="5"/>
        </w:numPr>
        <w:ind w:left="1440"/>
        <w:rPr>
          <w:szCs w:val="22"/>
        </w:rPr>
      </w:pPr>
      <w:r>
        <w:rPr>
          <w:szCs w:val="22"/>
        </w:rPr>
        <w:t>Don lab coat.</w:t>
      </w:r>
    </w:p>
    <w:p w:rsidR="00DB2EFF" w:rsidRDefault="00DB2EFF" w:rsidP="00922944">
      <w:pPr>
        <w:pStyle w:val="ListBullet"/>
        <w:numPr>
          <w:ilvl w:val="0"/>
          <w:numId w:val="1"/>
        </w:numPr>
        <w:ind w:left="1800"/>
        <w:rPr>
          <w:szCs w:val="22"/>
        </w:rPr>
      </w:pPr>
      <w:r>
        <w:rPr>
          <w:szCs w:val="22"/>
        </w:rPr>
        <w:t>Tape first pair of gloves to lab coat.</w:t>
      </w:r>
    </w:p>
    <w:p w:rsidR="00DB2EFF" w:rsidRDefault="00DB2EFF" w:rsidP="00922944">
      <w:pPr>
        <w:pStyle w:val="ListBullet"/>
        <w:numPr>
          <w:ilvl w:val="0"/>
          <w:numId w:val="6"/>
        </w:numPr>
        <w:ind w:left="1440"/>
        <w:rPr>
          <w:szCs w:val="22"/>
        </w:rPr>
      </w:pPr>
      <w:r>
        <w:t xml:space="preserve">Don dosimeter:  Whole body dosimeters are required for all personnel working in MaCS.  </w:t>
      </w:r>
    </w:p>
    <w:p w:rsidR="00922944" w:rsidRDefault="00DB2EFF" w:rsidP="00922944">
      <w:pPr>
        <w:pStyle w:val="ListBullet"/>
        <w:numPr>
          <w:ilvl w:val="0"/>
          <w:numId w:val="6"/>
        </w:numPr>
        <w:ind w:left="1440"/>
        <w:rPr>
          <w:szCs w:val="22"/>
        </w:rPr>
      </w:pPr>
      <w:r>
        <w:rPr>
          <w:szCs w:val="22"/>
        </w:rPr>
        <w:t>Don second or outer pair of gloves.</w:t>
      </w:r>
    </w:p>
    <w:p w:rsidR="00DB2EFF" w:rsidRPr="00922944" w:rsidRDefault="00DB2EFF" w:rsidP="00922944">
      <w:pPr>
        <w:pStyle w:val="ListBullet"/>
        <w:ind w:left="540"/>
        <w:rPr>
          <w:szCs w:val="22"/>
        </w:rPr>
      </w:pPr>
      <w:r w:rsidRPr="00922944">
        <w:rPr>
          <w:b/>
          <w:i/>
          <w:szCs w:val="22"/>
        </w:rPr>
        <w:t>NOTE:</w:t>
      </w:r>
      <w:r w:rsidRPr="00922944">
        <w:rPr>
          <w:i/>
          <w:szCs w:val="22"/>
        </w:rPr>
        <w:t xml:space="preserve"> Whenever there is suspect contamination, change outer gloves. </w:t>
      </w:r>
    </w:p>
    <w:p w:rsidR="00DB2EFF" w:rsidRPr="00495F75" w:rsidRDefault="00DB2EFF" w:rsidP="00922944">
      <w:pPr>
        <w:pStyle w:val="ListBullet"/>
        <w:numPr>
          <w:ilvl w:val="0"/>
          <w:numId w:val="5"/>
        </w:numPr>
        <w:ind w:left="1440"/>
        <w:rPr>
          <w:szCs w:val="22"/>
        </w:rPr>
      </w:pPr>
      <w:r>
        <w:rPr>
          <w:szCs w:val="22"/>
        </w:rPr>
        <w:t>Use designated carts and lead bricks for handling and moving samples.</w:t>
      </w:r>
    </w:p>
    <w:p w:rsidR="00DB2EFF" w:rsidRDefault="00DB2EFF" w:rsidP="00922944">
      <w:pPr>
        <w:pStyle w:val="ListBullet"/>
        <w:numPr>
          <w:ilvl w:val="0"/>
          <w:numId w:val="5"/>
        </w:numPr>
        <w:ind w:left="1440"/>
        <w:rPr>
          <w:szCs w:val="22"/>
        </w:rPr>
      </w:pPr>
      <w:r w:rsidRPr="00495F75">
        <w:rPr>
          <w:szCs w:val="22"/>
        </w:rPr>
        <w:t xml:space="preserve">Perform minor sample preparation </w:t>
      </w:r>
      <w:r>
        <w:rPr>
          <w:szCs w:val="22"/>
        </w:rPr>
        <w:t xml:space="preserve">and loading samples on studs </w:t>
      </w:r>
      <w:r w:rsidRPr="00495F75">
        <w:rPr>
          <w:szCs w:val="22"/>
        </w:rPr>
        <w:t>on designated trays</w:t>
      </w:r>
      <w:r>
        <w:rPr>
          <w:szCs w:val="22"/>
        </w:rPr>
        <w:t xml:space="preserve"> with tray liners.</w:t>
      </w:r>
    </w:p>
    <w:p w:rsidR="00DB2EFF" w:rsidRPr="00495F75" w:rsidRDefault="00DB2EFF" w:rsidP="00922944">
      <w:pPr>
        <w:pStyle w:val="ListBullet"/>
        <w:numPr>
          <w:ilvl w:val="0"/>
          <w:numId w:val="5"/>
        </w:numPr>
        <w:ind w:left="1440"/>
        <w:rPr>
          <w:szCs w:val="22"/>
        </w:rPr>
      </w:pPr>
      <w:r>
        <w:rPr>
          <w:szCs w:val="22"/>
        </w:rPr>
        <w:t>Conduct swipe tests and survey on all areas of possible contamination (e.g. the bottom of sample specimen stubs). Document all swipes in the Logbook.</w:t>
      </w:r>
    </w:p>
    <w:p w:rsidR="00DB2EFF" w:rsidRDefault="00DB2EFF" w:rsidP="00922944">
      <w:pPr>
        <w:pStyle w:val="ListBullet"/>
        <w:numPr>
          <w:ilvl w:val="0"/>
          <w:numId w:val="5"/>
        </w:numPr>
        <w:ind w:left="1440"/>
        <w:rPr>
          <w:szCs w:val="22"/>
        </w:rPr>
      </w:pPr>
      <w:r w:rsidRPr="00495F75">
        <w:rPr>
          <w:szCs w:val="22"/>
        </w:rPr>
        <w:t>Place sample in instrument</w:t>
      </w:r>
      <w:r>
        <w:rPr>
          <w:szCs w:val="22"/>
        </w:rPr>
        <w:t>.</w:t>
      </w:r>
    </w:p>
    <w:p w:rsidR="00DB2EFF" w:rsidRPr="00495F75" w:rsidRDefault="00DB2EFF" w:rsidP="00922944">
      <w:pPr>
        <w:pStyle w:val="ListBullet"/>
        <w:numPr>
          <w:ilvl w:val="0"/>
          <w:numId w:val="5"/>
        </w:numPr>
        <w:ind w:left="1440"/>
        <w:rPr>
          <w:szCs w:val="22"/>
        </w:rPr>
      </w:pPr>
      <w:r>
        <w:rPr>
          <w:szCs w:val="22"/>
        </w:rPr>
        <w:t xml:space="preserve">Conduct swipe tests and survey on all areas of possible contamination. (e.g. outside the instrument where the tray was placed, around sample holder, tray etc.) Document all swipes in the Logbook. </w:t>
      </w:r>
    </w:p>
    <w:p w:rsidR="00DB2EFF" w:rsidRDefault="00DB2EFF" w:rsidP="00922944">
      <w:pPr>
        <w:pStyle w:val="ListBullet"/>
        <w:numPr>
          <w:ilvl w:val="0"/>
          <w:numId w:val="5"/>
        </w:numPr>
        <w:ind w:left="1440"/>
        <w:rPr>
          <w:szCs w:val="22"/>
        </w:rPr>
      </w:pPr>
      <w:r w:rsidRPr="00495F75">
        <w:rPr>
          <w:szCs w:val="22"/>
        </w:rPr>
        <w:t xml:space="preserve">Remove </w:t>
      </w:r>
      <w:r>
        <w:rPr>
          <w:szCs w:val="22"/>
        </w:rPr>
        <w:t xml:space="preserve">tape and outer pair of </w:t>
      </w:r>
      <w:r w:rsidRPr="00495F75">
        <w:rPr>
          <w:szCs w:val="22"/>
        </w:rPr>
        <w:t>gloves and place them in rad</w:t>
      </w:r>
      <w:r>
        <w:rPr>
          <w:szCs w:val="22"/>
        </w:rPr>
        <w:t>iological</w:t>
      </w:r>
      <w:r w:rsidRPr="00495F75">
        <w:rPr>
          <w:szCs w:val="22"/>
        </w:rPr>
        <w:t xml:space="preserve"> waste container</w:t>
      </w:r>
      <w:r>
        <w:rPr>
          <w:szCs w:val="22"/>
        </w:rPr>
        <w:t>.</w:t>
      </w:r>
    </w:p>
    <w:p w:rsidR="00DB2EFF" w:rsidRDefault="00DB2EFF" w:rsidP="00922944">
      <w:pPr>
        <w:pStyle w:val="ListBullet"/>
        <w:numPr>
          <w:ilvl w:val="0"/>
          <w:numId w:val="5"/>
        </w:numPr>
        <w:ind w:left="1440"/>
        <w:rPr>
          <w:szCs w:val="22"/>
        </w:rPr>
      </w:pPr>
      <w:r>
        <w:rPr>
          <w:szCs w:val="22"/>
        </w:rPr>
        <w:t>Remove inner pair of gloves and place them in radiological waste container.</w:t>
      </w:r>
    </w:p>
    <w:p w:rsidR="00DB2EFF" w:rsidRDefault="00DB2EFF" w:rsidP="00922944">
      <w:pPr>
        <w:pStyle w:val="ListBullet"/>
        <w:numPr>
          <w:ilvl w:val="0"/>
          <w:numId w:val="5"/>
        </w:numPr>
        <w:ind w:left="1440"/>
        <w:rPr>
          <w:szCs w:val="22"/>
        </w:rPr>
      </w:pPr>
      <w:r>
        <w:rPr>
          <w:szCs w:val="22"/>
        </w:rPr>
        <w:t>Frisk hands, feet, and lab coat using an alpha or/and beta/gamma frisker.</w:t>
      </w:r>
    </w:p>
    <w:p w:rsidR="00DB2EFF" w:rsidRPr="00495F75" w:rsidRDefault="00DB2EFF" w:rsidP="00922944">
      <w:pPr>
        <w:pStyle w:val="ListBullet"/>
        <w:ind w:left="540"/>
        <w:rPr>
          <w:szCs w:val="22"/>
        </w:rPr>
      </w:pPr>
      <w:r>
        <w:rPr>
          <w:szCs w:val="22"/>
        </w:rPr>
        <w:lastRenderedPageBreak/>
        <w:t>Note: If lab coat frisks “clean,” hang on coat rack when sample prep and loading of sample is completed. If lab coat contains contamination dispose of in it in the radiological waste container and immediately notify the lab lead, CSO and others working in the lab area and await further instruction from CSO or CSO alternate designee.</w:t>
      </w:r>
    </w:p>
    <w:p w:rsidR="00DB2EFF" w:rsidRPr="008F5A0B" w:rsidRDefault="00DB2EFF" w:rsidP="00922944">
      <w:pPr>
        <w:pStyle w:val="ListBullet"/>
        <w:ind w:left="540"/>
        <w:rPr>
          <w:szCs w:val="22"/>
        </w:rPr>
      </w:pPr>
      <w:r w:rsidRPr="008F5A0B">
        <w:rPr>
          <w:b/>
          <w:szCs w:val="22"/>
        </w:rPr>
        <w:t>NOTE:</w:t>
      </w:r>
      <w:r w:rsidRPr="008F5A0B">
        <w:rPr>
          <w:szCs w:val="22"/>
        </w:rPr>
        <w:tab/>
      </w:r>
      <w:r w:rsidRPr="002C64FB">
        <w:rPr>
          <w:i/>
          <w:szCs w:val="22"/>
        </w:rPr>
        <w:t>Remember to operate instrument, computer, etc. without gloves</w:t>
      </w:r>
      <w:r>
        <w:rPr>
          <w:i/>
          <w:szCs w:val="22"/>
        </w:rPr>
        <w:t xml:space="preserve"> and o</w:t>
      </w:r>
      <w:r w:rsidRPr="008F5A0B">
        <w:rPr>
          <w:i/>
          <w:szCs w:val="22"/>
        </w:rPr>
        <w:t xml:space="preserve">nly place trays </w:t>
      </w:r>
      <w:r>
        <w:rPr>
          <w:i/>
          <w:szCs w:val="22"/>
        </w:rPr>
        <w:t>on/</w:t>
      </w:r>
      <w:r w:rsidRPr="008F5A0B">
        <w:rPr>
          <w:i/>
          <w:szCs w:val="22"/>
        </w:rPr>
        <w:t>in designated locations.</w:t>
      </w:r>
    </w:p>
    <w:p w:rsidR="00DB2EFF" w:rsidRPr="008F5A0B" w:rsidRDefault="00DB2EFF" w:rsidP="00DB2EFF">
      <w:pPr>
        <w:pStyle w:val="AppendixFlysheetTitles"/>
        <w:jc w:val="left"/>
        <w:rPr>
          <w:rFonts w:ascii="Times New Roman" w:hAnsi="Times New Roman"/>
          <w:sz w:val="24"/>
          <w:szCs w:val="24"/>
        </w:rPr>
      </w:pPr>
      <w:r>
        <w:rPr>
          <w:rFonts w:ascii="Times New Roman" w:hAnsi="Times New Roman"/>
          <w:sz w:val="22"/>
          <w:szCs w:val="22"/>
        </w:rPr>
        <w:t xml:space="preserve"> </w:t>
      </w:r>
      <w:r w:rsidRPr="008F5A0B">
        <w:rPr>
          <w:rFonts w:ascii="Times New Roman" w:hAnsi="Times New Roman"/>
          <w:sz w:val="24"/>
          <w:szCs w:val="24"/>
        </w:rPr>
        <w:t>Survey and Contamination Requirements</w:t>
      </w:r>
      <w:r>
        <w:rPr>
          <w:rFonts w:ascii="Times New Roman" w:hAnsi="Times New Roman"/>
          <w:sz w:val="24"/>
          <w:szCs w:val="24"/>
        </w:rPr>
        <w:t xml:space="preserve"> </w:t>
      </w:r>
    </w:p>
    <w:p w:rsidR="00DB2EFF" w:rsidRPr="00495F75" w:rsidRDefault="00DB2EFF" w:rsidP="00922944">
      <w:pPr>
        <w:ind w:left="720"/>
        <w:rPr>
          <w:rFonts w:ascii="Times New Roman" w:hAnsi="Times New Roman" w:cs="Times New Roman"/>
        </w:rPr>
      </w:pPr>
      <w:r w:rsidRPr="007F369F">
        <w:rPr>
          <w:rFonts w:ascii="Times New Roman" w:hAnsi="Times New Roman" w:cs="Times New Roman"/>
          <w:b/>
        </w:rPr>
        <w:t>Exit through MaCS outer door to hall:</w:t>
      </w:r>
      <w:r w:rsidRPr="00495F75">
        <w:rPr>
          <w:rFonts w:ascii="Times New Roman" w:hAnsi="Times New Roman" w:cs="Times New Roman"/>
        </w:rPr>
        <w:t xml:space="preserve"> Al</w:t>
      </w:r>
      <w:r>
        <w:rPr>
          <w:rFonts w:ascii="Times New Roman" w:hAnsi="Times New Roman" w:cs="Times New Roman"/>
        </w:rPr>
        <w:t xml:space="preserve">l personnel are required to </w:t>
      </w:r>
      <w:r w:rsidRPr="00495F75">
        <w:rPr>
          <w:rFonts w:ascii="Times New Roman" w:hAnsi="Times New Roman" w:cs="Times New Roman"/>
        </w:rPr>
        <w:t xml:space="preserve">frisk </w:t>
      </w:r>
      <w:r w:rsidR="00623E03">
        <w:rPr>
          <w:rFonts w:ascii="Times New Roman" w:hAnsi="Times New Roman" w:cs="Times New Roman"/>
        </w:rPr>
        <w:t xml:space="preserve">in designated area </w:t>
      </w:r>
      <w:r w:rsidRPr="00495F75">
        <w:rPr>
          <w:rFonts w:ascii="Times New Roman" w:hAnsi="Times New Roman" w:cs="Times New Roman"/>
        </w:rPr>
        <w:t xml:space="preserve">when </w:t>
      </w:r>
      <w:r>
        <w:rPr>
          <w:rFonts w:ascii="Times New Roman" w:hAnsi="Times New Roman" w:cs="Times New Roman"/>
        </w:rPr>
        <w:t xml:space="preserve">exiting </w:t>
      </w:r>
      <w:r w:rsidRPr="00495F75">
        <w:rPr>
          <w:rFonts w:ascii="Times New Roman" w:hAnsi="Times New Roman" w:cs="Times New Roman"/>
        </w:rPr>
        <w:t>MaCS</w:t>
      </w:r>
      <w:r w:rsidR="00623E03">
        <w:rPr>
          <w:rFonts w:ascii="Times New Roman" w:hAnsi="Times New Roman" w:cs="Times New Roman"/>
        </w:rPr>
        <w:t>.</w:t>
      </w:r>
      <w:r w:rsidRPr="00495F75">
        <w:rPr>
          <w:rFonts w:ascii="Times New Roman" w:hAnsi="Times New Roman" w:cs="Times New Roman"/>
        </w:rPr>
        <w:t xml:space="preserve"> </w:t>
      </w:r>
    </w:p>
    <w:p w:rsidR="00DB2EFF" w:rsidRDefault="00DB2EFF" w:rsidP="00922944">
      <w:pPr>
        <w:ind w:left="720"/>
        <w:rPr>
          <w:rFonts w:ascii="Times New Roman" w:hAnsi="Times New Roman" w:cs="Times New Roman"/>
        </w:rPr>
      </w:pPr>
      <w:r>
        <w:rPr>
          <w:rFonts w:ascii="Times New Roman" w:hAnsi="Times New Roman" w:cs="Times New Roman"/>
          <w:b/>
        </w:rPr>
        <w:t>Exit through d</w:t>
      </w:r>
      <w:r w:rsidRPr="003B7B3C">
        <w:rPr>
          <w:rFonts w:ascii="Times New Roman" w:hAnsi="Times New Roman" w:cs="Times New Roman"/>
          <w:b/>
        </w:rPr>
        <w:t>oor to Mat</w:t>
      </w:r>
      <w:r>
        <w:rPr>
          <w:rFonts w:ascii="Times New Roman" w:hAnsi="Times New Roman" w:cs="Times New Roman"/>
          <w:b/>
        </w:rPr>
        <w:t xml:space="preserve">erials </w:t>
      </w:r>
      <w:r w:rsidRPr="003B7B3C">
        <w:rPr>
          <w:rFonts w:ascii="Times New Roman" w:hAnsi="Times New Roman" w:cs="Times New Roman"/>
          <w:b/>
        </w:rPr>
        <w:t>Lab:</w:t>
      </w:r>
      <w:r w:rsidRPr="00495F75">
        <w:rPr>
          <w:rFonts w:ascii="Times New Roman" w:hAnsi="Times New Roman" w:cs="Times New Roman"/>
        </w:rPr>
        <w:t xml:space="preserve">  Al</w:t>
      </w:r>
      <w:r>
        <w:rPr>
          <w:rFonts w:ascii="Times New Roman" w:hAnsi="Times New Roman" w:cs="Times New Roman"/>
        </w:rPr>
        <w:t xml:space="preserve">l personnel are required to frisk </w:t>
      </w:r>
      <w:r w:rsidR="00623E03">
        <w:rPr>
          <w:rFonts w:ascii="Times New Roman" w:hAnsi="Times New Roman" w:cs="Times New Roman"/>
        </w:rPr>
        <w:t xml:space="preserve">in designated area </w:t>
      </w:r>
      <w:r>
        <w:rPr>
          <w:rFonts w:ascii="Times New Roman" w:hAnsi="Times New Roman" w:cs="Times New Roman"/>
        </w:rPr>
        <w:t>when exiting MaCS</w:t>
      </w:r>
      <w:r w:rsidR="00623E03">
        <w:rPr>
          <w:rFonts w:ascii="Times New Roman" w:hAnsi="Times New Roman" w:cs="Times New Roman"/>
        </w:rPr>
        <w:t>.</w:t>
      </w:r>
      <w:r>
        <w:rPr>
          <w:rFonts w:ascii="Times New Roman" w:hAnsi="Times New Roman" w:cs="Times New Roman"/>
        </w:rPr>
        <w:t xml:space="preserve"> </w:t>
      </w:r>
      <w:r w:rsidRPr="00495F75">
        <w:rPr>
          <w:rFonts w:ascii="Times New Roman" w:hAnsi="Times New Roman" w:cs="Times New Roman"/>
        </w:rPr>
        <w:t xml:space="preserve"> </w:t>
      </w:r>
    </w:p>
    <w:p w:rsidR="00DB2EFF" w:rsidRDefault="00DB2EFF" w:rsidP="00922944">
      <w:pPr>
        <w:ind w:left="720"/>
        <w:rPr>
          <w:rFonts w:ascii="Times New Roman" w:hAnsi="Times New Roman" w:cs="Times New Roman"/>
        </w:rPr>
      </w:pPr>
      <w:r>
        <w:rPr>
          <w:rFonts w:ascii="Times New Roman" w:hAnsi="Times New Roman" w:cs="Times New Roman"/>
        </w:rPr>
        <w:t xml:space="preserve">If contamination is discovered stop and ask for assistance from other members in the lab. Have them notify CSO, Lab Lead, or alternate designee. Do not move unless your safety is compromised. Decontaminate area (remove and dispose of contaminated clothing and/or clean areas of contamination with wet wipes and re-frisk). </w:t>
      </w:r>
    </w:p>
    <w:p w:rsidR="00DB2EFF" w:rsidRPr="00BC40D0" w:rsidRDefault="00DB2EFF" w:rsidP="00922944">
      <w:pPr>
        <w:ind w:left="720"/>
        <w:rPr>
          <w:rFonts w:ascii="Times New Roman" w:hAnsi="Times New Roman" w:cs="Times New Roman"/>
          <w:i/>
        </w:rPr>
      </w:pPr>
      <w:r w:rsidRPr="00BC40D0">
        <w:rPr>
          <w:rFonts w:ascii="Times New Roman" w:hAnsi="Times New Roman" w:cs="Times New Roman"/>
          <w:b/>
          <w:i/>
        </w:rPr>
        <w:t>NOTE:</w:t>
      </w:r>
      <w:r w:rsidRPr="00BC40D0">
        <w:rPr>
          <w:rFonts w:ascii="Times New Roman" w:hAnsi="Times New Roman" w:cs="Times New Roman"/>
          <w:i/>
        </w:rPr>
        <w:t xml:space="preserve"> Garbage should not be set out in the hallway for disposal by anyone other than the TSO.  </w:t>
      </w:r>
    </w:p>
    <w:p w:rsidR="007F0628" w:rsidRPr="003B3C22" w:rsidRDefault="003B3C22" w:rsidP="00C418D1">
      <w:pPr>
        <w:rPr>
          <w:b/>
        </w:rPr>
      </w:pPr>
      <w:r w:rsidRPr="003B3C22">
        <w:rPr>
          <w:b/>
          <w:noProof/>
        </w:rPr>
        <w:drawing>
          <wp:inline distT="0" distB="0" distL="0" distR="0">
            <wp:extent cx="5943600" cy="279454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5432" t="20128" r="2368" b="10482"/>
                    <a:stretch>
                      <a:fillRect/>
                    </a:stretch>
                  </pic:blipFill>
                  <pic:spPr bwMode="auto">
                    <a:xfrm>
                      <a:off x="0" y="0"/>
                      <a:ext cx="5943600" cy="2794547"/>
                    </a:xfrm>
                    <a:prstGeom prst="rect">
                      <a:avLst/>
                    </a:prstGeom>
                    <a:noFill/>
                    <a:ln w="9525">
                      <a:noFill/>
                      <a:miter lim="800000"/>
                      <a:headEnd/>
                      <a:tailEnd/>
                    </a:ln>
                  </pic:spPr>
                </pic:pic>
              </a:graphicData>
            </a:graphic>
          </wp:inline>
        </w:drawing>
      </w:r>
    </w:p>
    <w:sectPr w:rsidR="007F0628" w:rsidRPr="003B3C22" w:rsidSect="00CE2EE1">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685" w:rsidRDefault="00DE2685" w:rsidP="004D40BC">
      <w:pPr>
        <w:spacing w:after="0" w:line="240" w:lineRule="auto"/>
      </w:pPr>
      <w:r>
        <w:separator/>
      </w:r>
    </w:p>
  </w:endnote>
  <w:endnote w:type="continuationSeparator" w:id="0">
    <w:p w:rsidR="00DE2685" w:rsidRDefault="00DE2685" w:rsidP="004D4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685" w:rsidRDefault="00DE2685" w:rsidP="004D40BC">
      <w:pPr>
        <w:spacing w:after="0" w:line="240" w:lineRule="auto"/>
      </w:pPr>
      <w:r>
        <w:separator/>
      </w:r>
    </w:p>
  </w:footnote>
  <w:footnote w:type="continuationSeparator" w:id="0">
    <w:p w:rsidR="00DE2685" w:rsidRDefault="00DE2685" w:rsidP="004D40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970" w:type="dxa"/>
      <w:jc w:val="center"/>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1080"/>
      <w:gridCol w:w="900"/>
      <w:gridCol w:w="4320"/>
      <w:gridCol w:w="1530"/>
      <w:gridCol w:w="1440"/>
      <w:gridCol w:w="630"/>
      <w:gridCol w:w="1710"/>
      <w:gridCol w:w="360"/>
    </w:tblGrid>
    <w:tr w:rsidR="004D40BC" w:rsidRPr="00073C7C" w:rsidTr="00C56857">
      <w:trPr>
        <w:cantSplit/>
        <w:jc w:val="center"/>
      </w:trPr>
      <w:tc>
        <w:tcPr>
          <w:tcW w:w="1080" w:type="dxa"/>
          <w:tcBorders>
            <w:top w:val="nil"/>
            <w:left w:val="nil"/>
            <w:bottom w:val="nil"/>
            <w:right w:val="nil"/>
          </w:tcBorders>
        </w:tcPr>
        <w:p w:rsidR="004D40BC" w:rsidRPr="001B2767" w:rsidRDefault="004D40BC" w:rsidP="00C56857">
          <w:pPr>
            <w:pStyle w:val="header--10ptTNRItalic"/>
            <w:rPr>
              <w:b/>
              <w:i w:val="0"/>
            </w:rPr>
          </w:pPr>
        </w:p>
      </w:tc>
      <w:tc>
        <w:tcPr>
          <w:tcW w:w="5220" w:type="dxa"/>
          <w:gridSpan w:val="2"/>
          <w:tcBorders>
            <w:top w:val="nil"/>
            <w:left w:val="nil"/>
            <w:bottom w:val="nil"/>
            <w:right w:val="nil"/>
          </w:tcBorders>
        </w:tcPr>
        <w:p w:rsidR="004D40BC" w:rsidRPr="001B2767" w:rsidRDefault="004D40BC" w:rsidP="00C56857">
          <w:pPr>
            <w:pStyle w:val="header--10ptTNRItalic"/>
            <w:rPr>
              <w:b/>
              <w:i w:val="0"/>
            </w:rPr>
          </w:pPr>
        </w:p>
      </w:tc>
      <w:tc>
        <w:tcPr>
          <w:tcW w:w="1530" w:type="dxa"/>
          <w:tcBorders>
            <w:top w:val="nil"/>
            <w:left w:val="nil"/>
            <w:bottom w:val="nil"/>
            <w:right w:val="nil"/>
          </w:tcBorders>
        </w:tcPr>
        <w:p w:rsidR="004D40BC" w:rsidRPr="001B2767" w:rsidRDefault="004D40BC" w:rsidP="00C56857">
          <w:pPr>
            <w:pStyle w:val="header--10ptTNRItalic"/>
            <w:rPr>
              <w:b/>
              <w:i w:val="0"/>
            </w:rPr>
          </w:pPr>
        </w:p>
      </w:tc>
      <w:tc>
        <w:tcPr>
          <w:tcW w:w="2070" w:type="dxa"/>
          <w:gridSpan w:val="2"/>
          <w:tcBorders>
            <w:top w:val="nil"/>
            <w:left w:val="nil"/>
            <w:bottom w:val="nil"/>
            <w:right w:val="nil"/>
          </w:tcBorders>
          <w:vAlign w:val="bottom"/>
        </w:tcPr>
        <w:p w:rsidR="004D40BC" w:rsidRDefault="004D40BC" w:rsidP="00C56857">
          <w:pPr>
            <w:pStyle w:val="header--10ptTNRItalic"/>
          </w:pPr>
        </w:p>
      </w:tc>
      <w:tc>
        <w:tcPr>
          <w:tcW w:w="2070" w:type="dxa"/>
          <w:gridSpan w:val="2"/>
          <w:tcBorders>
            <w:top w:val="nil"/>
            <w:left w:val="nil"/>
            <w:bottom w:val="nil"/>
            <w:right w:val="nil"/>
          </w:tcBorders>
        </w:tcPr>
        <w:p w:rsidR="004D40BC" w:rsidRDefault="004E3A2C" w:rsidP="00C56857">
          <w:pPr>
            <w:pStyle w:val="header--8ptTNR"/>
            <w:jc w:val="both"/>
            <w:rPr>
              <w:sz w:val="12"/>
              <w:szCs w:val="12"/>
            </w:rPr>
          </w:pPr>
          <w:r>
            <w:rPr>
              <w:sz w:val="12"/>
              <w:szCs w:val="12"/>
            </w:rPr>
            <w:t>RSP</w:t>
          </w:r>
          <w:r w:rsidR="00013D97">
            <w:rPr>
              <w:sz w:val="12"/>
              <w:szCs w:val="12"/>
            </w:rPr>
            <w:t>-</w:t>
          </w:r>
          <w:r w:rsidR="00AA6156">
            <w:rPr>
              <w:sz w:val="12"/>
              <w:szCs w:val="12"/>
            </w:rPr>
            <w:t>0</w:t>
          </w:r>
          <w:r w:rsidR="00013D97">
            <w:rPr>
              <w:sz w:val="12"/>
              <w:szCs w:val="12"/>
            </w:rPr>
            <w:t>02</w:t>
          </w:r>
        </w:p>
        <w:p w:rsidR="004D40BC" w:rsidRDefault="004D40BC" w:rsidP="00C56857">
          <w:pPr>
            <w:pStyle w:val="header--8ptTNR"/>
            <w:jc w:val="both"/>
            <w:rPr>
              <w:sz w:val="12"/>
              <w:szCs w:val="12"/>
            </w:rPr>
          </w:pPr>
          <w:r>
            <w:rPr>
              <w:sz w:val="12"/>
              <w:szCs w:val="12"/>
            </w:rPr>
            <w:t>R</w:t>
          </w:r>
          <w:r w:rsidR="00DB2EFF">
            <w:rPr>
              <w:sz w:val="12"/>
              <w:szCs w:val="12"/>
            </w:rPr>
            <w:t>adiological Safety Protocol</w:t>
          </w:r>
          <w:r>
            <w:rPr>
              <w:sz w:val="12"/>
              <w:szCs w:val="12"/>
            </w:rPr>
            <w:t xml:space="preserve"> (Rev </w:t>
          </w:r>
          <w:r w:rsidR="00DB2EFF">
            <w:rPr>
              <w:sz w:val="12"/>
              <w:szCs w:val="12"/>
            </w:rPr>
            <w:t>1</w:t>
          </w:r>
          <w:r>
            <w:rPr>
              <w:sz w:val="12"/>
              <w:szCs w:val="12"/>
            </w:rPr>
            <w:t>)</w:t>
          </w:r>
        </w:p>
        <w:p w:rsidR="004D40BC" w:rsidRPr="00073C7C" w:rsidRDefault="00DB2EFF" w:rsidP="00C56857">
          <w:pPr>
            <w:pStyle w:val="header--8ptTNR"/>
            <w:jc w:val="both"/>
            <w:rPr>
              <w:sz w:val="12"/>
              <w:szCs w:val="12"/>
            </w:rPr>
          </w:pPr>
          <w:r>
            <w:rPr>
              <w:sz w:val="12"/>
              <w:szCs w:val="12"/>
            </w:rPr>
            <w:t>Effective Date: 5/3</w:t>
          </w:r>
          <w:r w:rsidR="004D40BC">
            <w:rPr>
              <w:sz w:val="12"/>
              <w:szCs w:val="12"/>
            </w:rPr>
            <w:t>1/2011</w:t>
          </w:r>
        </w:p>
      </w:tc>
    </w:tr>
    <w:tr w:rsidR="004D40BC" w:rsidRPr="00073C7C" w:rsidTr="00C56857">
      <w:trPr>
        <w:cantSplit/>
        <w:jc w:val="center"/>
      </w:trPr>
      <w:tc>
        <w:tcPr>
          <w:tcW w:w="1080" w:type="dxa"/>
          <w:tcBorders>
            <w:top w:val="nil"/>
            <w:left w:val="nil"/>
            <w:bottom w:val="nil"/>
            <w:right w:val="nil"/>
          </w:tcBorders>
        </w:tcPr>
        <w:p w:rsidR="004D40BC" w:rsidRPr="001B2767" w:rsidRDefault="004D40BC" w:rsidP="00C56857">
          <w:pPr>
            <w:pStyle w:val="header--10ptTNRItalic"/>
            <w:rPr>
              <w:b/>
              <w:i w:val="0"/>
            </w:rPr>
          </w:pPr>
        </w:p>
      </w:tc>
      <w:tc>
        <w:tcPr>
          <w:tcW w:w="5220" w:type="dxa"/>
          <w:gridSpan w:val="2"/>
          <w:tcBorders>
            <w:top w:val="nil"/>
            <w:left w:val="nil"/>
            <w:bottom w:val="single" w:sz="4" w:space="0" w:color="auto"/>
            <w:right w:val="nil"/>
          </w:tcBorders>
        </w:tcPr>
        <w:p w:rsidR="004D40BC" w:rsidRPr="001B2767" w:rsidRDefault="004D40BC" w:rsidP="00DB2EFF">
          <w:pPr>
            <w:pStyle w:val="header--10ptTNRItalic"/>
            <w:ind w:right="-1002"/>
            <w:rPr>
              <w:b/>
              <w:i w:val="0"/>
            </w:rPr>
          </w:pPr>
          <w:r>
            <w:rPr>
              <w:b/>
              <w:i w:val="0"/>
            </w:rPr>
            <w:t>Ce</w:t>
          </w:r>
          <w:r w:rsidR="00DB2EFF">
            <w:rPr>
              <w:b/>
              <w:i w:val="0"/>
            </w:rPr>
            <w:t>nter for Advanced Energy : Radiological Safety Protocol</w:t>
          </w:r>
        </w:p>
      </w:tc>
      <w:tc>
        <w:tcPr>
          <w:tcW w:w="1530" w:type="dxa"/>
          <w:tcBorders>
            <w:top w:val="nil"/>
            <w:left w:val="nil"/>
            <w:bottom w:val="single" w:sz="4" w:space="0" w:color="auto"/>
            <w:right w:val="nil"/>
          </w:tcBorders>
        </w:tcPr>
        <w:p w:rsidR="004D40BC" w:rsidRPr="001B2767" w:rsidRDefault="004D40BC" w:rsidP="00C56857">
          <w:pPr>
            <w:pStyle w:val="header--10ptTNRItalic"/>
            <w:rPr>
              <w:b/>
              <w:i w:val="0"/>
            </w:rPr>
          </w:pPr>
        </w:p>
      </w:tc>
      <w:tc>
        <w:tcPr>
          <w:tcW w:w="2070" w:type="dxa"/>
          <w:gridSpan w:val="2"/>
          <w:tcBorders>
            <w:top w:val="nil"/>
            <w:left w:val="nil"/>
            <w:bottom w:val="single" w:sz="4" w:space="0" w:color="auto"/>
            <w:right w:val="nil"/>
          </w:tcBorders>
          <w:vAlign w:val="bottom"/>
        </w:tcPr>
        <w:p w:rsidR="004D40BC" w:rsidRDefault="004D40BC" w:rsidP="00C56857">
          <w:pPr>
            <w:pStyle w:val="header--10ptTNRItalic"/>
          </w:pPr>
        </w:p>
      </w:tc>
      <w:tc>
        <w:tcPr>
          <w:tcW w:w="2070" w:type="dxa"/>
          <w:gridSpan w:val="2"/>
          <w:tcBorders>
            <w:top w:val="nil"/>
            <w:left w:val="nil"/>
            <w:bottom w:val="nil"/>
            <w:right w:val="nil"/>
          </w:tcBorders>
        </w:tcPr>
        <w:p w:rsidR="004D40BC" w:rsidRPr="00073C7C" w:rsidRDefault="004D40BC" w:rsidP="00C56857">
          <w:pPr>
            <w:pStyle w:val="header--8ptTNR"/>
            <w:jc w:val="right"/>
            <w:rPr>
              <w:sz w:val="12"/>
              <w:szCs w:val="12"/>
            </w:rPr>
          </w:pPr>
        </w:p>
      </w:tc>
    </w:tr>
    <w:tr w:rsidR="004D40BC" w:rsidTr="00C56857">
      <w:trPr>
        <w:gridAfter w:val="1"/>
        <w:wAfter w:w="360" w:type="dxa"/>
        <w:cantSplit/>
        <w:trHeight w:val="278"/>
        <w:jc w:val="center"/>
      </w:trPr>
      <w:tc>
        <w:tcPr>
          <w:tcW w:w="1080" w:type="dxa"/>
          <w:tcBorders>
            <w:top w:val="nil"/>
            <w:left w:val="nil"/>
            <w:bottom w:val="nil"/>
          </w:tcBorders>
        </w:tcPr>
        <w:p w:rsidR="004D40BC" w:rsidRDefault="004D40BC" w:rsidP="00C56857">
          <w:pPr>
            <w:pStyle w:val="header--12ptTNRBcenter"/>
            <w:rPr>
              <w:szCs w:val="22"/>
            </w:rPr>
          </w:pPr>
        </w:p>
      </w:tc>
      <w:tc>
        <w:tcPr>
          <w:tcW w:w="900" w:type="dxa"/>
          <w:vMerge w:val="restart"/>
          <w:tcBorders>
            <w:top w:val="single" w:sz="4" w:space="0" w:color="auto"/>
            <w:right w:val="nil"/>
          </w:tcBorders>
        </w:tcPr>
        <w:p w:rsidR="004D40BC" w:rsidRDefault="004D40BC" w:rsidP="00C56857">
          <w:pPr>
            <w:pStyle w:val="header--12ptTNRBcenter"/>
            <w:jc w:val="left"/>
            <w:rPr>
              <w:noProof/>
              <w:sz w:val="12"/>
              <w:szCs w:val="12"/>
            </w:rPr>
          </w:pPr>
          <w:r>
            <w:rPr>
              <w:noProof/>
              <w:sz w:val="12"/>
              <w:szCs w:val="12"/>
            </w:rPr>
            <w:drawing>
              <wp:inline distT="0" distB="0" distL="0" distR="0">
                <wp:extent cx="499745" cy="499745"/>
                <wp:effectExtent l="19050" t="0" r="0" b="0"/>
                <wp:docPr id="1" name="Picture 1" descr="ca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s-LOGO"/>
                        <pic:cNvPicPr>
                          <a:picLocks noChangeAspect="1" noChangeArrowheads="1"/>
                        </pic:cNvPicPr>
                      </pic:nvPicPr>
                      <pic:blipFill>
                        <a:blip r:embed="rId1"/>
                        <a:srcRect/>
                        <a:stretch>
                          <a:fillRect/>
                        </a:stretch>
                      </pic:blipFill>
                      <pic:spPr bwMode="auto">
                        <a:xfrm>
                          <a:off x="0" y="0"/>
                          <a:ext cx="499745" cy="499745"/>
                        </a:xfrm>
                        <a:prstGeom prst="rect">
                          <a:avLst/>
                        </a:prstGeom>
                        <a:noFill/>
                        <a:ln w="9525">
                          <a:noFill/>
                          <a:miter lim="800000"/>
                          <a:headEnd/>
                          <a:tailEnd/>
                        </a:ln>
                      </pic:spPr>
                    </pic:pic>
                  </a:graphicData>
                </a:graphic>
              </wp:inline>
            </w:drawing>
          </w:r>
        </w:p>
      </w:tc>
      <w:tc>
        <w:tcPr>
          <w:tcW w:w="4320" w:type="dxa"/>
          <w:vMerge w:val="restart"/>
          <w:tcBorders>
            <w:top w:val="single" w:sz="4" w:space="0" w:color="auto"/>
            <w:left w:val="nil"/>
          </w:tcBorders>
          <w:vAlign w:val="center"/>
        </w:tcPr>
        <w:p w:rsidR="004D40BC" w:rsidRPr="00500035" w:rsidRDefault="00DB2EFF" w:rsidP="00C56857">
          <w:pPr>
            <w:pStyle w:val="header--12ptTNRBcenter"/>
            <w:rPr>
              <w:szCs w:val="24"/>
            </w:rPr>
          </w:pPr>
          <w:r>
            <w:rPr>
              <w:szCs w:val="24"/>
            </w:rPr>
            <w:t>Microscopy and characterization suite</w:t>
          </w:r>
          <w:r w:rsidR="004E3A2C">
            <w:rPr>
              <w:szCs w:val="24"/>
            </w:rPr>
            <w:t xml:space="preserve"> General Radiation Practice</w:t>
          </w:r>
        </w:p>
      </w:tc>
      <w:tc>
        <w:tcPr>
          <w:tcW w:w="1530" w:type="dxa"/>
          <w:vMerge w:val="restart"/>
          <w:tcBorders>
            <w:top w:val="single" w:sz="4" w:space="0" w:color="auto"/>
            <w:right w:val="single" w:sz="6" w:space="0" w:color="FFFFFF"/>
          </w:tcBorders>
        </w:tcPr>
        <w:p w:rsidR="004D40BC" w:rsidRDefault="004D40BC" w:rsidP="00C56857">
          <w:pPr>
            <w:pStyle w:val="header--12ptTNR"/>
            <w:spacing w:after="40"/>
            <w:rPr>
              <w:sz w:val="22"/>
              <w:szCs w:val="22"/>
            </w:rPr>
          </w:pPr>
          <w:r>
            <w:rPr>
              <w:sz w:val="22"/>
              <w:szCs w:val="22"/>
            </w:rPr>
            <w:t>Identifier:</w:t>
          </w:r>
        </w:p>
        <w:p w:rsidR="004D40BC" w:rsidRDefault="004D40BC" w:rsidP="00C56857">
          <w:pPr>
            <w:pStyle w:val="header--12ptTNR"/>
            <w:spacing w:after="40"/>
            <w:rPr>
              <w:sz w:val="22"/>
              <w:szCs w:val="22"/>
            </w:rPr>
          </w:pPr>
          <w:r>
            <w:rPr>
              <w:sz w:val="22"/>
              <w:szCs w:val="22"/>
            </w:rPr>
            <w:t>Revision:</w:t>
          </w:r>
        </w:p>
        <w:p w:rsidR="004D40BC" w:rsidRDefault="004D40BC" w:rsidP="00C56857">
          <w:pPr>
            <w:pStyle w:val="header--12ptTNR"/>
            <w:rPr>
              <w:sz w:val="22"/>
              <w:szCs w:val="22"/>
            </w:rPr>
          </w:pPr>
          <w:r>
            <w:rPr>
              <w:sz w:val="22"/>
              <w:szCs w:val="22"/>
            </w:rPr>
            <w:t>Date:</w:t>
          </w:r>
        </w:p>
      </w:tc>
      <w:tc>
        <w:tcPr>
          <w:tcW w:w="3780" w:type="dxa"/>
          <w:gridSpan w:val="3"/>
          <w:tcBorders>
            <w:top w:val="single" w:sz="4" w:space="0" w:color="auto"/>
            <w:left w:val="single" w:sz="6" w:space="0" w:color="FFFFFF"/>
            <w:bottom w:val="nil"/>
          </w:tcBorders>
        </w:tcPr>
        <w:p w:rsidR="004D40BC" w:rsidRDefault="004E3A2C" w:rsidP="00C56857">
          <w:pPr>
            <w:pStyle w:val="header--12ptTNR"/>
            <w:rPr>
              <w:bCs/>
              <w:sz w:val="22"/>
              <w:szCs w:val="22"/>
            </w:rPr>
          </w:pPr>
          <w:r>
            <w:rPr>
              <w:bCs/>
              <w:sz w:val="22"/>
              <w:szCs w:val="22"/>
            </w:rPr>
            <w:t>RSP</w:t>
          </w:r>
          <w:r w:rsidR="00AA6156">
            <w:rPr>
              <w:bCs/>
              <w:sz w:val="22"/>
              <w:szCs w:val="22"/>
            </w:rPr>
            <w:t xml:space="preserve"> – 0</w:t>
          </w:r>
          <w:r w:rsidR="00013D97">
            <w:rPr>
              <w:bCs/>
              <w:sz w:val="22"/>
              <w:szCs w:val="22"/>
            </w:rPr>
            <w:t>02</w:t>
          </w:r>
        </w:p>
      </w:tc>
    </w:tr>
    <w:tr w:rsidR="004D40BC" w:rsidTr="00C56857">
      <w:trPr>
        <w:gridAfter w:val="1"/>
        <w:wAfter w:w="360" w:type="dxa"/>
        <w:cantSplit/>
        <w:trHeight w:val="277"/>
        <w:jc w:val="center"/>
      </w:trPr>
      <w:tc>
        <w:tcPr>
          <w:tcW w:w="1080" w:type="dxa"/>
          <w:tcBorders>
            <w:top w:val="nil"/>
            <w:left w:val="nil"/>
            <w:bottom w:val="nil"/>
          </w:tcBorders>
        </w:tcPr>
        <w:p w:rsidR="004D40BC" w:rsidRDefault="004D40BC" w:rsidP="00C56857">
          <w:pPr>
            <w:pStyle w:val="header--12ptTNRBcenter"/>
            <w:rPr>
              <w:szCs w:val="22"/>
            </w:rPr>
          </w:pPr>
        </w:p>
      </w:tc>
      <w:tc>
        <w:tcPr>
          <w:tcW w:w="900" w:type="dxa"/>
          <w:vMerge/>
          <w:tcBorders>
            <w:right w:val="nil"/>
          </w:tcBorders>
          <w:vAlign w:val="center"/>
        </w:tcPr>
        <w:p w:rsidR="004D40BC" w:rsidRDefault="004D40BC" w:rsidP="00C56857">
          <w:pPr>
            <w:pStyle w:val="header--12ptTNRBcenter"/>
            <w:rPr>
              <w:szCs w:val="22"/>
            </w:rPr>
          </w:pPr>
        </w:p>
      </w:tc>
      <w:tc>
        <w:tcPr>
          <w:tcW w:w="4320" w:type="dxa"/>
          <w:vMerge/>
          <w:tcBorders>
            <w:left w:val="nil"/>
          </w:tcBorders>
          <w:vAlign w:val="center"/>
        </w:tcPr>
        <w:p w:rsidR="004D40BC" w:rsidRDefault="004D40BC" w:rsidP="00C56857">
          <w:pPr>
            <w:pStyle w:val="header--12ptTNRBcenter"/>
            <w:rPr>
              <w:szCs w:val="22"/>
            </w:rPr>
          </w:pPr>
        </w:p>
      </w:tc>
      <w:tc>
        <w:tcPr>
          <w:tcW w:w="1530" w:type="dxa"/>
          <w:vMerge/>
          <w:tcBorders>
            <w:right w:val="single" w:sz="6" w:space="0" w:color="FFFFFF"/>
          </w:tcBorders>
        </w:tcPr>
        <w:p w:rsidR="004D40BC" w:rsidRDefault="004D40BC" w:rsidP="00C56857">
          <w:pPr>
            <w:pStyle w:val="header--12ptTNRBcenter"/>
            <w:rPr>
              <w:sz w:val="22"/>
              <w:szCs w:val="22"/>
            </w:rPr>
          </w:pPr>
        </w:p>
      </w:tc>
      <w:tc>
        <w:tcPr>
          <w:tcW w:w="3780" w:type="dxa"/>
          <w:gridSpan w:val="3"/>
          <w:tcBorders>
            <w:top w:val="nil"/>
            <w:left w:val="single" w:sz="6" w:space="0" w:color="FFFFFF"/>
            <w:bottom w:val="nil"/>
          </w:tcBorders>
        </w:tcPr>
        <w:p w:rsidR="004D40BC" w:rsidRDefault="00DB2EFF" w:rsidP="00C56857">
          <w:pPr>
            <w:pStyle w:val="header--12ptTNR"/>
            <w:rPr>
              <w:sz w:val="22"/>
              <w:szCs w:val="22"/>
            </w:rPr>
          </w:pPr>
          <w:r>
            <w:rPr>
              <w:sz w:val="22"/>
              <w:szCs w:val="22"/>
            </w:rPr>
            <w:t>1</w:t>
          </w:r>
        </w:p>
      </w:tc>
    </w:tr>
    <w:tr w:rsidR="004D40BC" w:rsidTr="00C56857">
      <w:trPr>
        <w:gridAfter w:val="1"/>
        <w:wAfter w:w="360" w:type="dxa"/>
        <w:cantSplit/>
        <w:trHeight w:val="277"/>
        <w:jc w:val="center"/>
      </w:trPr>
      <w:tc>
        <w:tcPr>
          <w:tcW w:w="1080" w:type="dxa"/>
          <w:tcBorders>
            <w:top w:val="nil"/>
            <w:left w:val="nil"/>
            <w:bottom w:val="nil"/>
          </w:tcBorders>
        </w:tcPr>
        <w:p w:rsidR="004D40BC" w:rsidRDefault="004D40BC" w:rsidP="00C56857">
          <w:pPr>
            <w:pStyle w:val="header--12ptTNRBcenter"/>
            <w:rPr>
              <w:szCs w:val="22"/>
            </w:rPr>
          </w:pPr>
        </w:p>
      </w:tc>
      <w:tc>
        <w:tcPr>
          <w:tcW w:w="900" w:type="dxa"/>
          <w:vMerge/>
          <w:tcBorders>
            <w:right w:val="nil"/>
          </w:tcBorders>
          <w:vAlign w:val="center"/>
        </w:tcPr>
        <w:p w:rsidR="004D40BC" w:rsidRDefault="004D40BC" w:rsidP="00C56857">
          <w:pPr>
            <w:pStyle w:val="header--12ptTNRBcenter"/>
            <w:rPr>
              <w:szCs w:val="22"/>
            </w:rPr>
          </w:pPr>
        </w:p>
      </w:tc>
      <w:tc>
        <w:tcPr>
          <w:tcW w:w="4320" w:type="dxa"/>
          <w:vMerge/>
          <w:tcBorders>
            <w:left w:val="nil"/>
          </w:tcBorders>
          <w:vAlign w:val="center"/>
        </w:tcPr>
        <w:p w:rsidR="004D40BC" w:rsidRDefault="004D40BC" w:rsidP="00C56857">
          <w:pPr>
            <w:pStyle w:val="header--12ptTNRBcenter"/>
            <w:rPr>
              <w:szCs w:val="22"/>
            </w:rPr>
          </w:pPr>
        </w:p>
      </w:tc>
      <w:tc>
        <w:tcPr>
          <w:tcW w:w="1530" w:type="dxa"/>
          <w:vMerge/>
          <w:tcBorders>
            <w:right w:val="single" w:sz="6" w:space="0" w:color="FFFFFF"/>
          </w:tcBorders>
        </w:tcPr>
        <w:p w:rsidR="004D40BC" w:rsidRDefault="004D40BC" w:rsidP="00C56857">
          <w:pPr>
            <w:pStyle w:val="header--12ptTNRBcenter"/>
            <w:rPr>
              <w:sz w:val="22"/>
              <w:szCs w:val="22"/>
            </w:rPr>
          </w:pPr>
        </w:p>
      </w:tc>
      <w:tc>
        <w:tcPr>
          <w:tcW w:w="1440" w:type="dxa"/>
          <w:tcBorders>
            <w:top w:val="nil"/>
            <w:left w:val="single" w:sz="6" w:space="0" w:color="FFFFFF"/>
            <w:right w:val="single" w:sz="6" w:space="0" w:color="FFFFFF"/>
          </w:tcBorders>
        </w:tcPr>
        <w:p w:rsidR="004D40BC" w:rsidRPr="00DA6FBA" w:rsidRDefault="004D40BC" w:rsidP="00C56857">
          <w:pPr>
            <w:pStyle w:val="header--12ptTNR"/>
            <w:rPr>
              <w:b/>
              <w:sz w:val="22"/>
              <w:szCs w:val="22"/>
            </w:rPr>
          </w:pPr>
        </w:p>
      </w:tc>
      <w:tc>
        <w:tcPr>
          <w:tcW w:w="2340" w:type="dxa"/>
          <w:gridSpan w:val="2"/>
          <w:tcBorders>
            <w:top w:val="nil"/>
            <w:left w:val="single" w:sz="6" w:space="0" w:color="FFFFFF"/>
          </w:tcBorders>
        </w:tcPr>
        <w:p w:rsidR="004D40BC" w:rsidRDefault="004D40BC" w:rsidP="00C56857">
          <w:pPr>
            <w:pStyle w:val="header--12ptTNR"/>
            <w:jc w:val="right"/>
            <w:rPr>
              <w:sz w:val="22"/>
              <w:szCs w:val="22"/>
            </w:rPr>
          </w:pPr>
          <w:r w:rsidRPr="003D174E">
            <w:rPr>
              <w:sz w:val="22"/>
              <w:szCs w:val="22"/>
            </w:rPr>
            <w:t xml:space="preserve">Page </w:t>
          </w:r>
          <w:r w:rsidR="00A119B9" w:rsidRPr="003D174E">
            <w:rPr>
              <w:sz w:val="22"/>
              <w:szCs w:val="22"/>
            </w:rPr>
            <w:fldChar w:fldCharType="begin"/>
          </w:r>
          <w:r w:rsidRPr="003D174E">
            <w:rPr>
              <w:sz w:val="22"/>
              <w:szCs w:val="22"/>
            </w:rPr>
            <w:instrText xml:space="preserve"> PAGE </w:instrText>
          </w:r>
          <w:r w:rsidR="00A119B9" w:rsidRPr="003D174E">
            <w:rPr>
              <w:sz w:val="22"/>
              <w:szCs w:val="22"/>
            </w:rPr>
            <w:fldChar w:fldCharType="separate"/>
          </w:r>
          <w:r w:rsidR="00B21176">
            <w:rPr>
              <w:noProof/>
              <w:sz w:val="22"/>
              <w:szCs w:val="22"/>
            </w:rPr>
            <w:t>2</w:t>
          </w:r>
          <w:r w:rsidR="00A119B9" w:rsidRPr="003D174E">
            <w:rPr>
              <w:sz w:val="22"/>
              <w:szCs w:val="22"/>
            </w:rPr>
            <w:fldChar w:fldCharType="end"/>
          </w:r>
          <w:r w:rsidRPr="003D174E">
            <w:rPr>
              <w:sz w:val="22"/>
              <w:szCs w:val="22"/>
            </w:rPr>
            <w:t xml:space="preserve"> of </w:t>
          </w:r>
          <w:r w:rsidR="00A119B9" w:rsidRPr="003D174E">
            <w:rPr>
              <w:sz w:val="22"/>
              <w:szCs w:val="22"/>
            </w:rPr>
            <w:fldChar w:fldCharType="begin"/>
          </w:r>
          <w:r w:rsidRPr="003D174E">
            <w:rPr>
              <w:sz w:val="22"/>
              <w:szCs w:val="22"/>
            </w:rPr>
            <w:instrText xml:space="preserve"> NUMPAGES </w:instrText>
          </w:r>
          <w:r w:rsidR="00A119B9" w:rsidRPr="003D174E">
            <w:rPr>
              <w:sz w:val="22"/>
              <w:szCs w:val="22"/>
            </w:rPr>
            <w:fldChar w:fldCharType="separate"/>
          </w:r>
          <w:r w:rsidR="00B21176">
            <w:rPr>
              <w:noProof/>
              <w:sz w:val="22"/>
              <w:szCs w:val="22"/>
            </w:rPr>
            <w:t>4</w:t>
          </w:r>
          <w:r w:rsidR="00A119B9" w:rsidRPr="003D174E">
            <w:rPr>
              <w:sz w:val="22"/>
              <w:szCs w:val="22"/>
            </w:rPr>
            <w:fldChar w:fldCharType="end"/>
          </w:r>
        </w:p>
      </w:tc>
    </w:tr>
  </w:tbl>
  <w:p w:rsidR="004D40BC" w:rsidRDefault="004D40BC" w:rsidP="004D4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B685F5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04090009"/>
    <w:lvl w:ilvl="0">
      <w:start w:val="1"/>
      <w:numFmt w:val="bullet"/>
      <w:lvlText w:val=""/>
      <w:lvlJc w:val="left"/>
      <w:pPr>
        <w:ind w:left="360" w:hanging="360"/>
      </w:pPr>
      <w:rPr>
        <w:rFonts w:ascii="Wingdings" w:hAnsi="Wingdings" w:hint="default"/>
      </w:rPr>
    </w:lvl>
  </w:abstractNum>
  <w:abstractNum w:abstractNumId="2">
    <w:nsid w:val="09164952"/>
    <w:multiLevelType w:val="hybridMultilevel"/>
    <w:tmpl w:val="69B23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657C5"/>
    <w:multiLevelType w:val="hybridMultilevel"/>
    <w:tmpl w:val="EFF42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6C5323"/>
    <w:multiLevelType w:val="hybridMultilevel"/>
    <w:tmpl w:val="04EA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964F3A"/>
    <w:multiLevelType w:val="multilevel"/>
    <w:tmpl w:val="73BEE57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304"/>
        </w:tabs>
        <w:ind w:left="2304" w:hanging="864"/>
      </w:pPr>
      <w:rPr>
        <w:rFonts w:hint="default"/>
      </w:rPr>
    </w:lvl>
    <w:lvl w:ilvl="3">
      <w:start w:val="1"/>
      <w:numFmt w:val="decimal"/>
      <w:pStyle w:val="Heading4"/>
      <w:lvlText w:val="%1.%2.%3.%4"/>
      <w:lvlJc w:val="left"/>
      <w:pPr>
        <w:tabs>
          <w:tab w:val="num" w:pos="3528"/>
        </w:tabs>
        <w:ind w:left="3528" w:hanging="1224"/>
      </w:pPr>
      <w:rPr>
        <w:rFonts w:hint="default"/>
      </w:rPr>
    </w:lvl>
    <w:lvl w:ilvl="4">
      <w:start w:val="1"/>
      <w:numFmt w:val="decimal"/>
      <w:pStyle w:val="Heading5"/>
      <w:lvlText w:val="%1.%2.%3.%4.%5"/>
      <w:lvlJc w:val="left"/>
      <w:pPr>
        <w:tabs>
          <w:tab w:val="num" w:pos="4752"/>
        </w:tabs>
        <w:ind w:left="4752" w:hanging="1224"/>
      </w:pPr>
      <w:rPr>
        <w:rFonts w:hint="default"/>
      </w:rPr>
    </w:lvl>
    <w:lvl w:ilvl="5">
      <w:start w:val="1"/>
      <w:numFmt w:val="decimal"/>
      <w:pStyle w:val="Heading6"/>
      <w:lvlText w:val="%1.%2.%3.%4.%5.%6"/>
      <w:lvlJc w:val="left"/>
      <w:pPr>
        <w:tabs>
          <w:tab w:val="num" w:pos="6120"/>
        </w:tabs>
        <w:ind w:left="6120" w:hanging="1368"/>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D40BC"/>
    <w:rsid w:val="00013D97"/>
    <w:rsid w:val="001E116F"/>
    <w:rsid w:val="00223404"/>
    <w:rsid w:val="00292EC8"/>
    <w:rsid w:val="003A715D"/>
    <w:rsid w:val="003B3C22"/>
    <w:rsid w:val="003B5B8A"/>
    <w:rsid w:val="00465E44"/>
    <w:rsid w:val="004D40BC"/>
    <w:rsid w:val="004E3A2C"/>
    <w:rsid w:val="00623E03"/>
    <w:rsid w:val="00742BC1"/>
    <w:rsid w:val="007444BE"/>
    <w:rsid w:val="007F0628"/>
    <w:rsid w:val="008B4C7B"/>
    <w:rsid w:val="008D45DB"/>
    <w:rsid w:val="00922944"/>
    <w:rsid w:val="009C671E"/>
    <w:rsid w:val="00A119B9"/>
    <w:rsid w:val="00A7159A"/>
    <w:rsid w:val="00AA6156"/>
    <w:rsid w:val="00AD5BCA"/>
    <w:rsid w:val="00B21176"/>
    <w:rsid w:val="00C27CED"/>
    <w:rsid w:val="00C418D1"/>
    <w:rsid w:val="00C80FE8"/>
    <w:rsid w:val="00CC3748"/>
    <w:rsid w:val="00CE2EE1"/>
    <w:rsid w:val="00DB2EFF"/>
    <w:rsid w:val="00DE2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E1"/>
  </w:style>
  <w:style w:type="paragraph" w:styleId="Heading1">
    <w:name w:val="heading 1"/>
    <w:next w:val="Normal"/>
    <w:link w:val="Heading1Char"/>
    <w:qFormat/>
    <w:rsid w:val="00DB2EFF"/>
    <w:pPr>
      <w:keepNext/>
      <w:numPr>
        <w:numId w:val="4"/>
      </w:numPr>
      <w:spacing w:after="240" w:line="240" w:lineRule="auto"/>
      <w:outlineLvl w:val="0"/>
    </w:pPr>
    <w:rPr>
      <w:rFonts w:ascii="Times New Roman" w:eastAsia="Times New Roman" w:hAnsi="Times New Roman" w:cs="Arial"/>
      <w:b/>
      <w:bCs/>
      <w:kern w:val="32"/>
      <w:sz w:val="28"/>
      <w:szCs w:val="32"/>
    </w:rPr>
  </w:style>
  <w:style w:type="paragraph" w:styleId="Heading2">
    <w:name w:val="heading 2"/>
    <w:basedOn w:val="Heading1"/>
    <w:next w:val="Normal"/>
    <w:link w:val="Heading2Char"/>
    <w:qFormat/>
    <w:rsid w:val="00DB2EFF"/>
    <w:pPr>
      <w:keepNext w:val="0"/>
      <w:numPr>
        <w:ilvl w:val="1"/>
      </w:numPr>
      <w:outlineLvl w:val="1"/>
    </w:pPr>
    <w:rPr>
      <w:bCs w:val="0"/>
      <w:iCs/>
      <w:sz w:val="24"/>
      <w:szCs w:val="28"/>
    </w:rPr>
  </w:style>
  <w:style w:type="paragraph" w:styleId="Heading3">
    <w:name w:val="heading 3"/>
    <w:basedOn w:val="Heading1"/>
    <w:next w:val="Normal"/>
    <w:link w:val="Heading3Char"/>
    <w:qFormat/>
    <w:rsid w:val="00DB2EFF"/>
    <w:pPr>
      <w:keepNext w:val="0"/>
      <w:numPr>
        <w:ilvl w:val="2"/>
      </w:numPr>
      <w:outlineLvl w:val="2"/>
    </w:pPr>
    <w:rPr>
      <w:bCs w:val="0"/>
      <w:sz w:val="24"/>
      <w:szCs w:val="26"/>
    </w:rPr>
  </w:style>
  <w:style w:type="paragraph" w:styleId="Heading4">
    <w:name w:val="heading 4"/>
    <w:basedOn w:val="Heading1"/>
    <w:next w:val="Normal"/>
    <w:link w:val="Heading4Char"/>
    <w:qFormat/>
    <w:rsid w:val="00DB2EFF"/>
    <w:pPr>
      <w:keepNext w:val="0"/>
      <w:numPr>
        <w:ilvl w:val="3"/>
      </w:numPr>
      <w:outlineLvl w:val="3"/>
    </w:pPr>
    <w:rPr>
      <w:bCs w:val="0"/>
      <w:sz w:val="24"/>
      <w:szCs w:val="28"/>
    </w:rPr>
  </w:style>
  <w:style w:type="paragraph" w:styleId="Heading5">
    <w:name w:val="heading 5"/>
    <w:basedOn w:val="Heading1"/>
    <w:next w:val="Normal"/>
    <w:link w:val="Heading5Char"/>
    <w:qFormat/>
    <w:rsid w:val="00DB2EFF"/>
    <w:pPr>
      <w:keepNext w:val="0"/>
      <w:numPr>
        <w:ilvl w:val="4"/>
      </w:numPr>
      <w:outlineLvl w:val="4"/>
    </w:pPr>
    <w:rPr>
      <w:bCs w:val="0"/>
      <w:iCs/>
      <w:sz w:val="24"/>
      <w:szCs w:val="26"/>
    </w:rPr>
  </w:style>
  <w:style w:type="paragraph" w:styleId="Heading6">
    <w:name w:val="heading 6"/>
    <w:basedOn w:val="Heading1"/>
    <w:next w:val="Normal"/>
    <w:link w:val="Heading6Char"/>
    <w:qFormat/>
    <w:rsid w:val="00DB2EFF"/>
    <w:pPr>
      <w:keepNext w:val="0"/>
      <w:numPr>
        <w:ilvl w:val="5"/>
      </w:numPr>
      <w:outlineLvl w:val="5"/>
    </w:pPr>
    <w:rPr>
      <w:bCs w:val="0"/>
      <w:sz w:val="24"/>
      <w:szCs w:val="22"/>
    </w:rPr>
  </w:style>
  <w:style w:type="paragraph" w:styleId="Heading7">
    <w:name w:val="heading 7"/>
    <w:basedOn w:val="Normal"/>
    <w:next w:val="Normal"/>
    <w:link w:val="Heading7Char"/>
    <w:qFormat/>
    <w:rsid w:val="00DB2EFF"/>
    <w:pPr>
      <w:numPr>
        <w:ilvl w:val="6"/>
        <w:numId w:val="4"/>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B2EFF"/>
    <w:pPr>
      <w:numPr>
        <w:ilvl w:val="7"/>
        <w:numId w:val="4"/>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B2EFF"/>
    <w:pPr>
      <w:numPr>
        <w:ilvl w:val="8"/>
        <w:numId w:val="4"/>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0BC"/>
  </w:style>
  <w:style w:type="paragraph" w:styleId="Footer">
    <w:name w:val="footer"/>
    <w:basedOn w:val="Normal"/>
    <w:link w:val="FooterChar"/>
    <w:uiPriority w:val="99"/>
    <w:semiHidden/>
    <w:unhideWhenUsed/>
    <w:rsid w:val="004D40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40BC"/>
  </w:style>
  <w:style w:type="paragraph" w:styleId="BalloonText">
    <w:name w:val="Balloon Text"/>
    <w:basedOn w:val="Normal"/>
    <w:link w:val="BalloonTextChar"/>
    <w:uiPriority w:val="99"/>
    <w:semiHidden/>
    <w:unhideWhenUsed/>
    <w:rsid w:val="004D4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0BC"/>
    <w:rPr>
      <w:rFonts w:ascii="Tahoma" w:hAnsi="Tahoma" w:cs="Tahoma"/>
      <w:sz w:val="16"/>
      <w:szCs w:val="16"/>
    </w:rPr>
  </w:style>
  <w:style w:type="paragraph" w:customStyle="1" w:styleId="header--12ptTNR">
    <w:name w:val=".header--12pt TNR"/>
    <w:rsid w:val="004D40BC"/>
    <w:pPr>
      <w:spacing w:after="0" w:line="240" w:lineRule="auto"/>
    </w:pPr>
    <w:rPr>
      <w:rFonts w:ascii="Times New Roman" w:eastAsia="Times New Roman" w:hAnsi="Times New Roman" w:cs="Times New Roman"/>
      <w:sz w:val="24"/>
      <w:szCs w:val="20"/>
    </w:rPr>
  </w:style>
  <w:style w:type="paragraph" w:customStyle="1" w:styleId="header--8ptTNR">
    <w:name w:val=".header--8pt TNR"/>
    <w:rsid w:val="004D40BC"/>
    <w:pPr>
      <w:spacing w:after="0" w:line="240" w:lineRule="auto"/>
    </w:pPr>
    <w:rPr>
      <w:rFonts w:ascii="Times New Roman" w:eastAsia="Times New Roman" w:hAnsi="Times New Roman" w:cs="Times New Roman"/>
      <w:sz w:val="16"/>
      <w:szCs w:val="20"/>
    </w:rPr>
  </w:style>
  <w:style w:type="paragraph" w:customStyle="1" w:styleId="header--12ptTNRBcenter">
    <w:name w:val=".header--12pt TNR B center"/>
    <w:rsid w:val="004D40BC"/>
    <w:pPr>
      <w:spacing w:after="0" w:line="240" w:lineRule="auto"/>
      <w:jc w:val="center"/>
    </w:pPr>
    <w:rPr>
      <w:rFonts w:ascii="Times New Roman" w:eastAsia="Times New Roman" w:hAnsi="Times New Roman" w:cs="Times New Roman"/>
      <w:b/>
      <w:caps/>
      <w:sz w:val="24"/>
      <w:szCs w:val="20"/>
    </w:rPr>
  </w:style>
  <w:style w:type="paragraph" w:customStyle="1" w:styleId="header--10ptTNRItalic">
    <w:name w:val=".header--10pt TNR Italic"/>
    <w:basedOn w:val="header--8ptTNR"/>
    <w:rsid w:val="004D40BC"/>
    <w:rPr>
      <w:i/>
      <w:sz w:val="20"/>
    </w:rPr>
  </w:style>
  <w:style w:type="character" w:customStyle="1" w:styleId="Heading1Char">
    <w:name w:val="Heading 1 Char"/>
    <w:basedOn w:val="DefaultParagraphFont"/>
    <w:link w:val="Heading1"/>
    <w:rsid w:val="00DB2EFF"/>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DB2EFF"/>
    <w:rPr>
      <w:rFonts w:ascii="Times New Roman" w:eastAsia="Times New Roman" w:hAnsi="Times New Roman" w:cs="Arial"/>
      <w:b/>
      <w:iCs/>
      <w:kern w:val="32"/>
      <w:sz w:val="24"/>
      <w:szCs w:val="28"/>
    </w:rPr>
  </w:style>
  <w:style w:type="character" w:customStyle="1" w:styleId="Heading3Char">
    <w:name w:val="Heading 3 Char"/>
    <w:basedOn w:val="DefaultParagraphFont"/>
    <w:link w:val="Heading3"/>
    <w:rsid w:val="00DB2EFF"/>
    <w:rPr>
      <w:rFonts w:ascii="Times New Roman" w:eastAsia="Times New Roman" w:hAnsi="Times New Roman" w:cs="Arial"/>
      <w:b/>
      <w:kern w:val="32"/>
      <w:sz w:val="24"/>
      <w:szCs w:val="26"/>
    </w:rPr>
  </w:style>
  <w:style w:type="character" w:customStyle="1" w:styleId="Heading4Char">
    <w:name w:val="Heading 4 Char"/>
    <w:basedOn w:val="DefaultParagraphFont"/>
    <w:link w:val="Heading4"/>
    <w:rsid w:val="00DB2EFF"/>
    <w:rPr>
      <w:rFonts w:ascii="Times New Roman" w:eastAsia="Times New Roman" w:hAnsi="Times New Roman" w:cs="Arial"/>
      <w:b/>
      <w:kern w:val="32"/>
      <w:sz w:val="24"/>
      <w:szCs w:val="28"/>
    </w:rPr>
  </w:style>
  <w:style w:type="character" w:customStyle="1" w:styleId="Heading5Char">
    <w:name w:val="Heading 5 Char"/>
    <w:basedOn w:val="DefaultParagraphFont"/>
    <w:link w:val="Heading5"/>
    <w:rsid w:val="00DB2EFF"/>
    <w:rPr>
      <w:rFonts w:ascii="Times New Roman" w:eastAsia="Times New Roman" w:hAnsi="Times New Roman" w:cs="Arial"/>
      <w:b/>
      <w:iCs/>
      <w:kern w:val="32"/>
      <w:sz w:val="24"/>
      <w:szCs w:val="26"/>
    </w:rPr>
  </w:style>
  <w:style w:type="character" w:customStyle="1" w:styleId="Heading6Char">
    <w:name w:val="Heading 6 Char"/>
    <w:basedOn w:val="DefaultParagraphFont"/>
    <w:link w:val="Heading6"/>
    <w:rsid w:val="00DB2EFF"/>
    <w:rPr>
      <w:rFonts w:ascii="Times New Roman" w:eastAsia="Times New Roman" w:hAnsi="Times New Roman" w:cs="Arial"/>
      <w:b/>
      <w:kern w:val="32"/>
      <w:sz w:val="24"/>
    </w:rPr>
  </w:style>
  <w:style w:type="character" w:customStyle="1" w:styleId="Heading7Char">
    <w:name w:val="Heading 7 Char"/>
    <w:basedOn w:val="DefaultParagraphFont"/>
    <w:link w:val="Heading7"/>
    <w:rsid w:val="00DB2EF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B2EF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B2EFF"/>
    <w:rPr>
      <w:rFonts w:ascii="Arial" w:eastAsia="Times New Roman" w:hAnsi="Arial" w:cs="Arial"/>
    </w:rPr>
  </w:style>
  <w:style w:type="paragraph" w:styleId="BodyText">
    <w:name w:val="Body Text"/>
    <w:link w:val="BodyTextChar"/>
    <w:rsid w:val="00DB2EFF"/>
    <w:pPr>
      <w:spacing w:before="60" w:after="120" w:line="240" w:lineRule="auto"/>
      <w:ind w:firstLine="36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B2EFF"/>
    <w:rPr>
      <w:rFonts w:ascii="Times New Roman" w:eastAsia="Times New Roman" w:hAnsi="Times New Roman" w:cs="Times New Roman"/>
      <w:szCs w:val="20"/>
    </w:rPr>
  </w:style>
  <w:style w:type="paragraph" w:styleId="ListBullet">
    <w:name w:val="List Bullet"/>
    <w:rsid w:val="00DB2EFF"/>
    <w:pPr>
      <w:spacing w:after="120" w:line="240" w:lineRule="auto"/>
    </w:pPr>
    <w:rPr>
      <w:rFonts w:ascii="Times New Roman" w:eastAsia="Times New Roman" w:hAnsi="Times New Roman" w:cs="Times New Roman"/>
      <w:szCs w:val="20"/>
    </w:rPr>
  </w:style>
  <w:style w:type="paragraph" w:customStyle="1" w:styleId="AppendixFlysheetTitles">
    <w:name w:val="Appendix Flysheet Titles"/>
    <w:rsid w:val="00DB2EFF"/>
    <w:pPr>
      <w:spacing w:after="240" w:line="240" w:lineRule="auto"/>
      <w:jc w:val="center"/>
    </w:pPr>
    <w:rPr>
      <w:rFonts w:ascii="Arial" w:eastAsia="Times New Roman" w:hAnsi="Arial" w:cs="Times New Roman"/>
      <w:b/>
      <w:sz w:val="28"/>
      <w:szCs w:val="20"/>
    </w:rPr>
  </w:style>
  <w:style w:type="paragraph" w:styleId="ListBullet2">
    <w:name w:val="List Bullet 2"/>
    <w:basedOn w:val="Normal"/>
    <w:uiPriority w:val="99"/>
    <w:semiHidden/>
    <w:unhideWhenUsed/>
    <w:rsid w:val="00DB2EFF"/>
    <w:pPr>
      <w:numPr>
        <w:numId w:val="2"/>
      </w:numPr>
      <w:contextualSpacing/>
    </w:pPr>
  </w:style>
  <w:style w:type="character" w:styleId="Hyperlink">
    <w:name w:val="Hyperlink"/>
    <w:basedOn w:val="DefaultParagraphFont"/>
    <w:uiPriority w:val="99"/>
    <w:unhideWhenUsed/>
    <w:rsid w:val="00DB2EFF"/>
    <w:rPr>
      <w:color w:val="0000FF" w:themeColor="hyperlink"/>
      <w:u w:val="single"/>
    </w:rPr>
  </w:style>
  <w:style w:type="character" w:styleId="FollowedHyperlink">
    <w:name w:val="FollowedHyperlink"/>
    <w:basedOn w:val="DefaultParagraphFont"/>
    <w:uiPriority w:val="99"/>
    <w:semiHidden/>
    <w:unhideWhenUsed/>
    <w:rsid w:val="00B211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lportal.inl.gov/portal/server.pt/document/84206/rsp-004_movement_or_removal_rad_materials_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lportal.inl.gov/portal/server.pt/community/caes_home/281/ta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physics.isu.edu/health-physics/tso/rad_training/intr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mosekd</dc:creator>
  <cp:keywords/>
  <dc:description/>
  <cp:lastModifiedBy>INL</cp:lastModifiedBy>
  <cp:revision>6</cp:revision>
  <cp:lastPrinted>2011-06-02T23:16:00Z</cp:lastPrinted>
  <dcterms:created xsi:type="dcterms:W3CDTF">2011-06-01T22:10:00Z</dcterms:created>
  <dcterms:modified xsi:type="dcterms:W3CDTF">2011-06-03T20:06:00Z</dcterms:modified>
</cp:coreProperties>
</file>