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AD804" w14:textId="1C7D08DA" w:rsidR="00601DAA" w:rsidRPr="00A205A2" w:rsidRDefault="00E12FE2" w:rsidP="00E12FE2">
      <w:pPr>
        <w:jc w:val="center"/>
        <w:rPr>
          <w:b/>
          <w:bCs/>
          <w:sz w:val="28"/>
          <w:szCs w:val="28"/>
          <w:u w:val="single"/>
        </w:rPr>
      </w:pPr>
      <w:r w:rsidRPr="00A205A2">
        <w:rPr>
          <w:b/>
          <w:bCs/>
          <w:sz w:val="28"/>
          <w:szCs w:val="28"/>
          <w:u w:val="single"/>
        </w:rPr>
        <w:t xml:space="preserve">CAES </w:t>
      </w:r>
      <w:r w:rsidR="009E5B51" w:rsidRPr="00A205A2">
        <w:rPr>
          <w:b/>
          <w:bCs/>
          <w:sz w:val="28"/>
          <w:szCs w:val="28"/>
          <w:u w:val="single"/>
        </w:rPr>
        <w:t xml:space="preserve">Energy Frontiers </w:t>
      </w:r>
      <w:r w:rsidR="00E646A4" w:rsidRPr="00A205A2">
        <w:rPr>
          <w:b/>
          <w:bCs/>
          <w:sz w:val="28"/>
          <w:szCs w:val="28"/>
          <w:u w:val="single"/>
        </w:rPr>
        <w:t xml:space="preserve">Challenge </w:t>
      </w:r>
      <w:r w:rsidR="002B6830" w:rsidRPr="00A205A2">
        <w:rPr>
          <w:b/>
          <w:bCs/>
          <w:sz w:val="28"/>
          <w:szCs w:val="28"/>
          <w:u w:val="single"/>
        </w:rPr>
        <w:t xml:space="preserve">Funding - Call for </w:t>
      </w:r>
      <w:r w:rsidR="0009173D">
        <w:rPr>
          <w:b/>
          <w:bCs/>
          <w:sz w:val="28"/>
          <w:szCs w:val="28"/>
          <w:u w:val="single"/>
        </w:rPr>
        <w:t>Applications</w:t>
      </w:r>
    </w:p>
    <w:p w14:paraId="3028B463" w14:textId="15239A80" w:rsidR="00E12FE2" w:rsidRDefault="00E12FE2"/>
    <w:p w14:paraId="11EADC12" w14:textId="77777777" w:rsidR="009F7321" w:rsidRDefault="009F7321"/>
    <w:p w14:paraId="249CFB3B" w14:textId="2BF0ECF0" w:rsidR="005712C0" w:rsidRDefault="008A3E65" w:rsidP="00306DCB">
      <w:r>
        <w:t xml:space="preserve">The Center for Advanced Energy Studies </w:t>
      </w:r>
      <w:r w:rsidR="00306DCB">
        <w:t xml:space="preserve">announces its inaugural </w:t>
      </w:r>
      <w:r w:rsidR="00E12FE2">
        <w:t>call for the Energy Frontiers Challeng</w:t>
      </w:r>
      <w:r w:rsidR="00937EFE">
        <w:t xml:space="preserve">e, </w:t>
      </w:r>
      <w:r w:rsidR="0084512A">
        <w:t xml:space="preserve">an initiative that aims to accelerate energy innovation to solve the most pressing energy issues of our time. </w:t>
      </w:r>
      <w:r w:rsidR="00E12FE2">
        <w:t xml:space="preserve">This funding </w:t>
      </w:r>
      <w:r w:rsidR="00306DCB">
        <w:t>is intended to be utilize</w:t>
      </w:r>
      <w:r w:rsidR="0084512A">
        <w:t xml:space="preserve">d to establish </w:t>
      </w:r>
      <w:r w:rsidR="00E57082">
        <w:t>mid- to large-scale research teams such as those which comprise a</w:t>
      </w:r>
      <w:r w:rsidR="0084512A">
        <w:t xml:space="preserve"> federally funded research center. As a result, we are soliciting </w:t>
      </w:r>
      <w:r w:rsidR="00E57082">
        <w:t>planning grant</w:t>
      </w:r>
      <w:r w:rsidR="0084512A">
        <w:t xml:space="preserve"> proposals outlining the research, planning, and investment required to develop </w:t>
      </w:r>
      <w:r w:rsidR="00E57082">
        <w:t xml:space="preserve">such teams which can lead to </w:t>
      </w:r>
      <w:r w:rsidR="0084512A">
        <w:t>a CAES Center of Excellence</w:t>
      </w:r>
      <w:r w:rsidR="00AE13F7">
        <w:t xml:space="preserve"> (</w:t>
      </w:r>
      <w:proofErr w:type="gramStart"/>
      <w:r w:rsidR="00AE13F7">
        <w:t>i.e.</w:t>
      </w:r>
      <w:proofErr w:type="gramEnd"/>
      <w:r w:rsidR="00AE13F7">
        <w:t xml:space="preserve"> N</w:t>
      </w:r>
      <w:r w:rsidR="00E57082">
        <w:t xml:space="preserve">ational Science </w:t>
      </w:r>
      <w:r w:rsidR="00AE13F7">
        <w:t>F</w:t>
      </w:r>
      <w:r w:rsidR="00E57082">
        <w:t xml:space="preserve">oundation </w:t>
      </w:r>
      <w:r w:rsidR="00AE13F7">
        <w:t>E</w:t>
      </w:r>
      <w:r w:rsidR="00E57082">
        <w:t xml:space="preserve">ngineering </w:t>
      </w:r>
      <w:r w:rsidR="00AE13F7">
        <w:t>R</w:t>
      </w:r>
      <w:r w:rsidR="00E57082">
        <w:t xml:space="preserve">esearch </w:t>
      </w:r>
      <w:r w:rsidR="00AE13F7">
        <w:t>C</w:t>
      </w:r>
      <w:r w:rsidR="00E57082">
        <w:t>enter</w:t>
      </w:r>
      <w:r w:rsidR="00AE13F7">
        <w:t xml:space="preserve"> or D</w:t>
      </w:r>
      <w:r w:rsidR="00E57082">
        <w:t xml:space="preserve">epartment of Energy </w:t>
      </w:r>
      <w:proofErr w:type="spellStart"/>
      <w:r w:rsidR="00AE13F7">
        <w:t>E</w:t>
      </w:r>
      <w:r w:rsidR="00E57082">
        <w:t>nergy</w:t>
      </w:r>
      <w:proofErr w:type="spellEnd"/>
      <w:r w:rsidR="00E57082">
        <w:t xml:space="preserve"> Frontiers </w:t>
      </w:r>
      <w:r w:rsidR="00AE13F7">
        <w:t>R</w:t>
      </w:r>
      <w:r w:rsidR="00E57082">
        <w:t xml:space="preserve">esearch </w:t>
      </w:r>
      <w:r w:rsidR="00AE13F7">
        <w:t>C</w:t>
      </w:r>
      <w:r w:rsidR="00E57082">
        <w:t>enter</w:t>
      </w:r>
      <w:r w:rsidR="00AE13F7">
        <w:t>)</w:t>
      </w:r>
      <w:r w:rsidR="0084512A">
        <w:t>.</w:t>
      </w:r>
    </w:p>
    <w:p w14:paraId="355EC1ED" w14:textId="77777777" w:rsidR="002B6830" w:rsidRDefault="002B6830" w:rsidP="00306DCB"/>
    <w:p w14:paraId="0F42837B" w14:textId="77777777" w:rsidR="002B6830" w:rsidRPr="002B6830" w:rsidRDefault="002B6830" w:rsidP="00306DCB">
      <w:r w:rsidRPr="002B6830">
        <w:rPr>
          <w:i/>
          <w:iCs/>
        </w:rPr>
        <w:t>Details</w:t>
      </w:r>
      <w:r>
        <w:t xml:space="preserve"> </w:t>
      </w:r>
      <w:r w:rsidRPr="002B6830">
        <w:t xml:space="preserve">: </w:t>
      </w:r>
      <w:hyperlink r:id="rId7" w:history="1">
        <w:r w:rsidRPr="002B6830">
          <w:rPr>
            <w:rStyle w:val="Hyperlink"/>
          </w:rPr>
          <w:t>https://caesenergy.org/wp-content/uploads/2020/10/Energy-Frontiers-Challenge.pdf</w:t>
        </w:r>
      </w:hyperlink>
      <w:r w:rsidRPr="002B6830">
        <w:t xml:space="preserve"> </w:t>
      </w:r>
    </w:p>
    <w:p w14:paraId="1C100FA1" w14:textId="77777777" w:rsidR="00E37691" w:rsidRDefault="00E37691" w:rsidP="00306DCB"/>
    <w:p w14:paraId="6A356AD8" w14:textId="5E3A3AB3" w:rsidR="00E12FE2" w:rsidRDefault="00E12FE2" w:rsidP="00306DCB">
      <w:pPr>
        <w:rPr>
          <w:b/>
          <w:bCs/>
        </w:rPr>
      </w:pPr>
      <w:r w:rsidRPr="002B6830">
        <w:rPr>
          <w:i/>
          <w:iCs/>
        </w:rPr>
        <w:t>Energy Frontiers are structured to provide</w:t>
      </w:r>
      <w:r w:rsidRPr="002B6830">
        <w:rPr>
          <w:b/>
          <w:bCs/>
        </w:rPr>
        <w:t xml:space="preserve"> </w:t>
      </w:r>
    </w:p>
    <w:p w14:paraId="07D2FCC2" w14:textId="77777777" w:rsidR="00E37691" w:rsidRPr="002B6830" w:rsidRDefault="00E37691" w:rsidP="00306DCB">
      <w:pPr>
        <w:rPr>
          <w:b/>
          <w:bCs/>
        </w:rPr>
      </w:pPr>
    </w:p>
    <w:p w14:paraId="1E50D968" w14:textId="77777777" w:rsidR="00E12FE2" w:rsidRDefault="00E12FE2" w:rsidP="00E12FE2">
      <w:pPr>
        <w:pStyle w:val="ListParagraph"/>
        <w:numPr>
          <w:ilvl w:val="0"/>
          <w:numId w:val="1"/>
        </w:numPr>
      </w:pPr>
      <w:r>
        <w:t>Resources to catalyze transdisciplinary, multi-institution teams to pursue highly competitive funding opportunities</w:t>
      </w:r>
      <w:r w:rsidR="005712C0">
        <w:t>,</w:t>
      </w:r>
    </w:p>
    <w:p w14:paraId="1EB124B4" w14:textId="77777777" w:rsidR="00E12FE2" w:rsidRDefault="00E12FE2" w:rsidP="00E12FE2">
      <w:pPr>
        <w:pStyle w:val="ListParagraph"/>
        <w:numPr>
          <w:ilvl w:val="0"/>
          <w:numId w:val="1"/>
        </w:numPr>
      </w:pPr>
      <w:r>
        <w:t>Establish CAES Centers of Excellence that advance the energy field through convergent research approaches</w:t>
      </w:r>
      <w:r w:rsidR="005712C0">
        <w:t>,</w:t>
      </w:r>
    </w:p>
    <w:p w14:paraId="0CD9D088" w14:textId="77777777" w:rsidR="00E12FE2" w:rsidRDefault="00E12FE2" w:rsidP="00E12FE2">
      <w:pPr>
        <w:pStyle w:val="ListParagraph"/>
        <w:numPr>
          <w:ilvl w:val="0"/>
          <w:numId w:val="1"/>
        </w:numPr>
      </w:pPr>
      <w:r>
        <w:t>Further the educational mission of our university members through research</w:t>
      </w:r>
      <w:r w:rsidR="005712C0">
        <w:t>, and</w:t>
      </w:r>
    </w:p>
    <w:p w14:paraId="5AA2DBE8" w14:textId="40D8918B" w:rsidR="00B705BB" w:rsidRPr="00B705BB" w:rsidRDefault="00E12FE2" w:rsidP="00B705BB">
      <w:pPr>
        <w:pStyle w:val="ListParagraph"/>
        <w:numPr>
          <w:ilvl w:val="0"/>
          <w:numId w:val="1"/>
        </w:numPr>
      </w:pPr>
      <w:r>
        <w:t>Transform the collaborative model of CAES.</w:t>
      </w:r>
    </w:p>
    <w:p w14:paraId="5A868B97" w14:textId="77777777" w:rsidR="00B705BB" w:rsidRDefault="00B705BB" w:rsidP="00B705BB">
      <w:pPr>
        <w:ind w:left="220"/>
        <w:rPr>
          <w:b/>
          <w:bCs/>
        </w:rPr>
      </w:pPr>
    </w:p>
    <w:p w14:paraId="03789EC5" w14:textId="7FDCFDD8" w:rsidR="00B705BB" w:rsidRPr="002B6830" w:rsidRDefault="00B705BB" w:rsidP="00B705BB">
      <w:pPr>
        <w:ind w:left="220"/>
        <w:rPr>
          <w:i/>
          <w:iCs/>
        </w:rPr>
      </w:pPr>
      <w:r>
        <w:rPr>
          <w:b/>
          <w:bCs/>
        </w:rPr>
        <w:t xml:space="preserve">ENERGY FRONTIERS INITIATIVES: </w:t>
      </w:r>
      <w:r w:rsidRPr="002B6830">
        <w:rPr>
          <w:i/>
          <w:iCs/>
        </w:rPr>
        <w:t>We challenge our CAES Community to propose convergent research approaches to address the grand challenges at these inaugural Energy Frontiers</w:t>
      </w:r>
      <w:r w:rsidR="00861C6C">
        <w:rPr>
          <w:i/>
          <w:iCs/>
        </w:rPr>
        <w:t>. (Other innovative ideas that do not fall into these categories will be considered).</w:t>
      </w:r>
    </w:p>
    <w:p w14:paraId="456FA0B1" w14:textId="77777777" w:rsidR="00B705BB" w:rsidRDefault="00B705BB" w:rsidP="00B705BB">
      <w:pPr>
        <w:ind w:left="220"/>
        <w:rPr>
          <w:b/>
          <w:bCs/>
        </w:rPr>
      </w:pPr>
    </w:p>
    <w:p w14:paraId="667477D2" w14:textId="77777777" w:rsidR="00B705BB" w:rsidRPr="00306DCB" w:rsidRDefault="00B705BB" w:rsidP="00B705BB">
      <w:pPr>
        <w:ind w:left="220"/>
        <w:rPr>
          <w:b/>
          <w:bCs/>
        </w:rPr>
      </w:pPr>
    </w:p>
    <w:p w14:paraId="1D25A51C" w14:textId="77777777" w:rsidR="00B705BB" w:rsidRPr="00E62527" w:rsidRDefault="00B705BB" w:rsidP="00B705BB">
      <w:pPr>
        <w:pStyle w:val="ListParagraph"/>
        <w:numPr>
          <w:ilvl w:val="0"/>
          <w:numId w:val="4"/>
        </w:numPr>
        <w:ind w:left="940"/>
        <w:rPr>
          <w:b/>
          <w:bCs/>
          <w:u w:val="single"/>
        </w:rPr>
      </w:pPr>
      <w:r w:rsidRPr="00E62527">
        <w:rPr>
          <w:b/>
          <w:bCs/>
          <w:u w:val="single"/>
        </w:rPr>
        <w:t>A Resilient Critical Materials Economy</w:t>
      </w:r>
    </w:p>
    <w:p w14:paraId="483BD347" w14:textId="77777777" w:rsidR="00B705BB" w:rsidRPr="00253DB6" w:rsidRDefault="00B705BB" w:rsidP="00B705BB">
      <w:pPr>
        <w:pStyle w:val="ListParagraph"/>
        <w:ind w:left="940"/>
        <w:rPr>
          <w:b/>
          <w:bCs/>
        </w:rPr>
      </w:pPr>
    </w:p>
    <w:p w14:paraId="3A2515CC" w14:textId="77777777" w:rsidR="00B705BB" w:rsidRPr="00E62527" w:rsidRDefault="00B705BB" w:rsidP="00B705BB">
      <w:pPr>
        <w:ind w:left="220"/>
        <w:rPr>
          <w:rFonts w:eastAsia="Times New Roman" w:cstheme="minorHAnsi"/>
        </w:rPr>
      </w:pPr>
      <w:r>
        <w:rPr>
          <w:rFonts w:cstheme="minorHAnsi"/>
        </w:rPr>
        <w:t>“</w:t>
      </w:r>
      <w:r w:rsidRPr="00E62527">
        <w:rPr>
          <w:rFonts w:cstheme="minorHAnsi"/>
        </w:rPr>
        <w:t xml:space="preserve">The US imports over 50% of its critical materials and minerals, relying on resilience of supply chains for national economic and defense strategies. A resilient critical materials economy will include: a strategy for reducing reliance on these imported materials; </w:t>
      </w:r>
      <w:r w:rsidRPr="00E62527">
        <w:rPr>
          <w:rFonts w:eastAsia="Times New Roman" w:cstheme="minorHAnsi"/>
        </w:rPr>
        <w:t>assessment of progress toward developing recycling and reprocessing technologies, and technological alternatives to critical minerals; and options for accessing and developing critical minerals through investment and trade with partners</w:t>
      </w:r>
      <w:r>
        <w:rPr>
          <w:rFonts w:eastAsia="Times New Roman" w:cstheme="minorHAnsi"/>
        </w:rPr>
        <w:t xml:space="preserve">.” </w:t>
      </w:r>
      <w:r>
        <w:rPr>
          <w:rStyle w:val="EndnoteReference"/>
          <w:rFonts w:eastAsia="Times New Roman" w:cstheme="minorHAnsi"/>
        </w:rPr>
        <w:endnoteReference w:id="1"/>
      </w:r>
    </w:p>
    <w:p w14:paraId="3BC20621" w14:textId="77777777" w:rsidR="00B705BB" w:rsidRPr="00253DB6" w:rsidRDefault="00B705BB" w:rsidP="00B705BB">
      <w:pPr>
        <w:ind w:left="220"/>
      </w:pPr>
    </w:p>
    <w:p w14:paraId="1D7203B8" w14:textId="77777777" w:rsidR="00B705BB" w:rsidRPr="00E62527" w:rsidRDefault="00B705BB" w:rsidP="00B705BB">
      <w:pPr>
        <w:pStyle w:val="ListParagraph"/>
        <w:numPr>
          <w:ilvl w:val="0"/>
          <w:numId w:val="4"/>
        </w:numPr>
        <w:ind w:left="940"/>
        <w:rPr>
          <w:b/>
          <w:bCs/>
          <w:u w:val="single"/>
        </w:rPr>
      </w:pPr>
      <w:r w:rsidRPr="00E62527">
        <w:rPr>
          <w:b/>
          <w:bCs/>
          <w:u w:val="single"/>
        </w:rPr>
        <w:t>Accelerating Energy Transitions</w:t>
      </w:r>
    </w:p>
    <w:p w14:paraId="3A057A9E" w14:textId="77777777" w:rsidR="00B705BB" w:rsidRPr="00E62527" w:rsidRDefault="00B705BB" w:rsidP="00B705BB">
      <w:pPr>
        <w:pStyle w:val="ListParagraph"/>
        <w:ind w:left="940"/>
        <w:rPr>
          <w:b/>
          <w:bCs/>
          <w:sz w:val="22"/>
          <w:szCs w:val="22"/>
        </w:rPr>
      </w:pPr>
    </w:p>
    <w:p w14:paraId="7F3DD1E4" w14:textId="2AAB7472" w:rsidR="00B705BB" w:rsidRPr="00E62527" w:rsidRDefault="00B705BB" w:rsidP="00B705BB">
      <w:pPr>
        <w:ind w:left="220"/>
        <w:rPr>
          <w:rFonts w:eastAsia="Times New Roman" w:cstheme="minorHAnsi"/>
        </w:rPr>
      </w:pPr>
      <w:r w:rsidRPr="00E62527">
        <w:rPr>
          <w:rFonts w:cstheme="minorHAnsi"/>
          <w:b/>
          <w:bCs/>
        </w:rPr>
        <w:t>“</w:t>
      </w:r>
      <w:r w:rsidRPr="00E62527">
        <w:rPr>
          <w:rFonts w:eastAsia="Times New Roman" w:cstheme="minorHAnsi"/>
          <w:color w:val="333333"/>
          <w:shd w:val="clear" w:color="auto" w:fill="FFFFFF"/>
        </w:rPr>
        <w:t>Technological breakthroughs are needed to reduce carbon emissions in the energy sector. Even with economically viable and scalable renewable-based solutions available for around two-thirds of the world’s energy supply, population growth and rising energy demand could outpace energy decarboni</w:t>
      </w:r>
      <w:r w:rsidR="00E57082">
        <w:rPr>
          <w:rFonts w:eastAsia="Times New Roman" w:cstheme="minorHAnsi"/>
          <w:color w:val="333333"/>
          <w:shd w:val="clear" w:color="auto" w:fill="FFFFFF"/>
        </w:rPr>
        <w:t>z</w:t>
      </w:r>
      <w:r w:rsidRPr="00E62527">
        <w:rPr>
          <w:rFonts w:eastAsia="Times New Roman" w:cstheme="minorHAnsi"/>
          <w:color w:val="333333"/>
          <w:shd w:val="clear" w:color="auto" w:fill="FFFFFF"/>
        </w:rPr>
        <w:t>ation without urgent investments in research and development</w:t>
      </w:r>
      <w:r w:rsidRPr="00E62527">
        <w:rPr>
          <w:rFonts w:eastAsia="Times New Roman" w:cstheme="minorHAnsi"/>
        </w:rPr>
        <w:t>, including: new innovations in energy provision, power-system integrations, the decarbonization of end-users, among others.”</w:t>
      </w:r>
      <w:r>
        <w:rPr>
          <w:rStyle w:val="EndnoteReference"/>
          <w:rFonts w:eastAsia="Times New Roman" w:cstheme="minorHAnsi"/>
        </w:rPr>
        <w:endnoteReference w:id="2"/>
      </w:r>
    </w:p>
    <w:p w14:paraId="01AA1783" w14:textId="77777777" w:rsidR="00B705BB" w:rsidRPr="00E62527" w:rsidRDefault="00B705BB" w:rsidP="00B705BB">
      <w:pPr>
        <w:ind w:left="220"/>
        <w:rPr>
          <w:rFonts w:ascii="Times New Roman" w:eastAsia="Times New Roman" w:hAnsi="Times New Roman" w:cs="Times New Roman"/>
        </w:rPr>
      </w:pPr>
    </w:p>
    <w:p w14:paraId="75549D7B" w14:textId="77777777" w:rsidR="00B705BB" w:rsidRPr="00E62527" w:rsidRDefault="00B705BB" w:rsidP="00B705BB">
      <w:pPr>
        <w:pStyle w:val="ListParagraph"/>
        <w:numPr>
          <w:ilvl w:val="0"/>
          <w:numId w:val="4"/>
        </w:numPr>
        <w:ind w:left="940"/>
        <w:rPr>
          <w:b/>
          <w:bCs/>
          <w:u w:val="single"/>
        </w:rPr>
      </w:pPr>
      <w:r w:rsidRPr="00E62527">
        <w:rPr>
          <w:b/>
          <w:bCs/>
          <w:u w:val="single"/>
        </w:rPr>
        <w:t>Advanced Manufacturing for Extreme Environments</w:t>
      </w:r>
    </w:p>
    <w:p w14:paraId="4A2A6DEC" w14:textId="77777777" w:rsidR="00B705BB" w:rsidRDefault="00B705BB" w:rsidP="00B705BB">
      <w:pPr>
        <w:ind w:left="220"/>
        <w:rPr>
          <w:b/>
          <w:bCs/>
        </w:rPr>
      </w:pPr>
    </w:p>
    <w:p w14:paraId="58C7CDE0" w14:textId="77777777" w:rsidR="00B705BB" w:rsidRPr="00E62527" w:rsidRDefault="00B705BB" w:rsidP="00B705BB">
      <w:pPr>
        <w:ind w:left="220"/>
        <w:rPr>
          <w:rFonts w:eastAsia="Times New Roman" w:cstheme="minorHAnsi"/>
        </w:rPr>
      </w:pPr>
      <w:r w:rsidRPr="00E62527">
        <w:rPr>
          <w:rFonts w:eastAsia="Times New Roman" w:cstheme="minorHAnsi"/>
          <w:color w:val="292929"/>
          <w:shd w:val="clear" w:color="auto" w:fill="FFFFFF"/>
        </w:rPr>
        <w:t xml:space="preserve">“Equipment used in the American energy production, transportation, and industrial sectors regularly operates under conditions that are high-temperature, corrosive, oxidizing, mechanically wearing, embrittling, or that involve thermal cycling. These environments present material stability and durability </w:t>
      </w:r>
      <w:r w:rsidRPr="00E62527">
        <w:rPr>
          <w:rFonts w:eastAsia="Times New Roman" w:cstheme="minorHAnsi"/>
          <w:color w:val="292929"/>
          <w:shd w:val="clear" w:color="auto" w:fill="FFFFFF"/>
        </w:rPr>
        <w:lastRenderedPageBreak/>
        <w:t>challenges that constrain the implementation of energy-efficient, cost-effective, and high-performance products and processes. Accelerated research is needed on manufacturing for materials that can withstand these and other conditions.”</w:t>
      </w:r>
      <w:r>
        <w:rPr>
          <w:rStyle w:val="EndnoteReference"/>
          <w:rFonts w:eastAsia="Times New Roman" w:cstheme="minorHAnsi"/>
          <w:color w:val="292929"/>
          <w:shd w:val="clear" w:color="auto" w:fill="FFFFFF"/>
        </w:rPr>
        <w:endnoteReference w:id="3"/>
      </w:r>
    </w:p>
    <w:p w14:paraId="64247DFE" w14:textId="63417D19" w:rsidR="005712C0" w:rsidRPr="00A205A2" w:rsidRDefault="00A205A2" w:rsidP="00A205A2">
      <w:pPr>
        <w:jc w:val="center"/>
        <w:rPr>
          <w:b/>
          <w:bCs/>
        </w:rPr>
      </w:pPr>
      <w:r w:rsidRPr="00A205A2">
        <w:rPr>
          <w:b/>
          <w:bCs/>
          <w:sz w:val="28"/>
          <w:szCs w:val="28"/>
          <w:u w:val="single"/>
        </w:rPr>
        <w:t>Program Details</w:t>
      </w:r>
    </w:p>
    <w:p w14:paraId="670270B6" w14:textId="0DB4D18D" w:rsidR="00E646A4" w:rsidRDefault="00E646A4" w:rsidP="00FF33D9"/>
    <w:p w14:paraId="6CD7C990" w14:textId="77777777" w:rsidR="00B705BB" w:rsidRDefault="00B705BB" w:rsidP="00FF33D9"/>
    <w:p w14:paraId="4387BC50" w14:textId="1CA70F16" w:rsidR="00E37691" w:rsidRDefault="00585CA2" w:rsidP="00585CA2">
      <w:pPr>
        <w:rPr>
          <w:i/>
          <w:iCs/>
        </w:rPr>
      </w:pPr>
      <w:r w:rsidRPr="00585CA2">
        <w:rPr>
          <w:b/>
          <w:bCs/>
        </w:rPr>
        <w:t>ELIGIBILITY</w:t>
      </w:r>
      <w:r>
        <w:t xml:space="preserve">: </w:t>
      </w:r>
      <w:r w:rsidR="00E37691" w:rsidRPr="00A205A2">
        <w:rPr>
          <w:i/>
          <w:iCs/>
        </w:rPr>
        <w:t>Principal Investigators must be affiliated with a CAES Institution.</w:t>
      </w:r>
    </w:p>
    <w:p w14:paraId="4FFA7517" w14:textId="566AD2BD" w:rsidR="009F1760" w:rsidRDefault="009F1760" w:rsidP="00585CA2">
      <w:pPr>
        <w:rPr>
          <w:i/>
          <w:iCs/>
        </w:rPr>
      </w:pPr>
    </w:p>
    <w:p w14:paraId="5B237F44" w14:textId="236E9EDA" w:rsidR="009F1760" w:rsidRPr="009F1760" w:rsidRDefault="009F1760" w:rsidP="009F176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Note: This funding entails  INL subcontract funding for one year (up to $50,000).</w:t>
      </w:r>
    </w:p>
    <w:p w14:paraId="2490EFFC" w14:textId="77777777" w:rsidR="00E37691" w:rsidRDefault="00E37691" w:rsidP="00585CA2"/>
    <w:p w14:paraId="63AAD520" w14:textId="6CDCE25C" w:rsidR="002B6830" w:rsidRPr="00A205A2" w:rsidRDefault="009F1760" w:rsidP="00585CA2">
      <w:pPr>
        <w:rPr>
          <w:b/>
          <w:bCs/>
          <w:i/>
          <w:iCs/>
        </w:rPr>
      </w:pPr>
      <w:r>
        <w:rPr>
          <w:b/>
          <w:bCs/>
          <w:i/>
          <w:iCs/>
        </w:rPr>
        <w:t>Successful</w:t>
      </w:r>
      <w:r w:rsidR="005712C0" w:rsidRPr="00A205A2">
        <w:rPr>
          <w:b/>
          <w:bCs/>
          <w:i/>
          <w:iCs/>
        </w:rPr>
        <w:t xml:space="preserve"> applicants for this</w:t>
      </w:r>
      <w:r>
        <w:rPr>
          <w:b/>
          <w:bCs/>
          <w:i/>
          <w:iCs/>
        </w:rPr>
        <w:t xml:space="preserve"> funding </w:t>
      </w:r>
      <w:r w:rsidR="00585CA2" w:rsidRPr="00A205A2">
        <w:rPr>
          <w:b/>
          <w:bCs/>
          <w:i/>
          <w:iCs/>
        </w:rPr>
        <w:t>:</w:t>
      </w:r>
    </w:p>
    <w:p w14:paraId="15DA1CB3" w14:textId="770BE1D8" w:rsidR="00E37691" w:rsidRDefault="00E37691" w:rsidP="00585CA2"/>
    <w:p w14:paraId="5C3F3FB1" w14:textId="2CAB691E" w:rsidR="00585CA2" w:rsidRDefault="00585CA2" w:rsidP="00585CA2">
      <w:pPr>
        <w:pStyle w:val="ListParagraph"/>
        <w:numPr>
          <w:ilvl w:val="0"/>
          <w:numId w:val="1"/>
        </w:numPr>
      </w:pPr>
      <w:r>
        <w:t xml:space="preserve">Demonstrated record of scholarship through publications, </w:t>
      </w:r>
      <w:r w:rsidR="00A82826">
        <w:t xml:space="preserve">funded research </w:t>
      </w:r>
      <w:r>
        <w:t xml:space="preserve">awards, and contributions to their field, including history of role as Principal Investigator </w:t>
      </w:r>
    </w:p>
    <w:p w14:paraId="017B5161" w14:textId="36A645D9" w:rsidR="00585CA2" w:rsidRDefault="00585CA2" w:rsidP="00585CA2">
      <w:pPr>
        <w:pStyle w:val="ListParagraph"/>
        <w:numPr>
          <w:ilvl w:val="0"/>
          <w:numId w:val="1"/>
        </w:numPr>
      </w:pPr>
      <w:r>
        <w:t xml:space="preserve">Identified participants from </w:t>
      </w:r>
      <w:r w:rsidR="00B705BB" w:rsidRPr="00B705BB">
        <w:rPr>
          <w:i/>
          <w:iCs/>
          <w:u w:val="single"/>
        </w:rPr>
        <w:t>at least 3</w:t>
      </w:r>
      <w:r>
        <w:t xml:space="preserve"> of the CAES institutions, as well as potential </w:t>
      </w:r>
      <w:r w:rsidRPr="00585CA2">
        <w:rPr>
          <w:u w:val="single"/>
        </w:rPr>
        <w:t>trans-disciplinary</w:t>
      </w:r>
      <w:r>
        <w:t xml:space="preserve"> partners (</w:t>
      </w:r>
      <w:proofErr w:type="gramStart"/>
      <w:r>
        <w:t>i.e.</w:t>
      </w:r>
      <w:proofErr w:type="gramEnd"/>
      <w:r>
        <w:t xml:space="preserve"> universities, industry, </w:t>
      </w:r>
      <w:proofErr w:type="spellStart"/>
      <w:r>
        <w:t>etc</w:t>
      </w:r>
      <w:proofErr w:type="spellEnd"/>
      <w:r>
        <w:t>)</w:t>
      </w:r>
    </w:p>
    <w:p w14:paraId="72EDB52D" w14:textId="77777777" w:rsidR="006959CA" w:rsidRDefault="006959CA" w:rsidP="0025346B">
      <w:pPr>
        <w:pStyle w:val="ListParagraph"/>
        <w:numPr>
          <w:ilvl w:val="0"/>
          <w:numId w:val="1"/>
        </w:numPr>
      </w:pPr>
      <w:r>
        <w:t>Current or recent</w:t>
      </w:r>
      <w:r w:rsidR="0025346B">
        <w:t xml:space="preserve"> </w:t>
      </w:r>
      <w:r>
        <w:t>research/funding supporting the proposed theme</w:t>
      </w:r>
    </w:p>
    <w:p w14:paraId="244C6F5E" w14:textId="77777777" w:rsidR="0025346B" w:rsidRDefault="0025346B" w:rsidP="0025346B">
      <w:pPr>
        <w:pStyle w:val="ListParagraph"/>
        <w:numPr>
          <w:ilvl w:val="0"/>
          <w:numId w:val="1"/>
        </w:numPr>
      </w:pPr>
      <w:r>
        <w:t>Demonstrated</w:t>
      </w:r>
      <w:r w:rsidR="00E96A55">
        <w:t xml:space="preserve"> inclusive</w:t>
      </w:r>
      <w:r>
        <w:t xml:space="preserve"> mentorship of early career faculty, graduate students, and/or organizations in their field</w:t>
      </w:r>
    </w:p>
    <w:p w14:paraId="23593D72" w14:textId="77777777" w:rsidR="0025346B" w:rsidRDefault="006959CA" w:rsidP="00585CA2">
      <w:pPr>
        <w:pStyle w:val="ListParagraph"/>
        <w:numPr>
          <w:ilvl w:val="0"/>
          <w:numId w:val="1"/>
        </w:numPr>
      </w:pPr>
      <w:r>
        <w:t>Be in good standing with both their home institution and CAE</w:t>
      </w:r>
      <w:r w:rsidR="00E96A55">
        <w:t>S</w:t>
      </w:r>
    </w:p>
    <w:p w14:paraId="0F0559C8" w14:textId="191FBBA6" w:rsidR="009F7321" w:rsidRDefault="009F7321" w:rsidP="00585CA2">
      <w:pPr>
        <w:rPr>
          <w:b/>
          <w:bCs/>
          <w:i/>
          <w:iCs/>
        </w:rPr>
      </w:pPr>
    </w:p>
    <w:p w14:paraId="716E8B2B" w14:textId="77777777" w:rsidR="009F1760" w:rsidRDefault="009F1760" w:rsidP="00585CA2">
      <w:pPr>
        <w:rPr>
          <w:b/>
          <w:bCs/>
          <w:i/>
          <w:iCs/>
        </w:rPr>
      </w:pPr>
    </w:p>
    <w:p w14:paraId="08C7529D" w14:textId="2530596C" w:rsidR="00585CA2" w:rsidRPr="00E646A4" w:rsidRDefault="00FD2EB0" w:rsidP="00585CA2">
      <w:pPr>
        <w:rPr>
          <w:b/>
          <w:bCs/>
          <w:i/>
          <w:iCs/>
        </w:rPr>
      </w:pPr>
      <w:r>
        <w:rPr>
          <w:b/>
          <w:bCs/>
          <w:i/>
          <w:iCs/>
        </w:rPr>
        <w:t>AT THE CULMINATION OF THE PROGRAM, SUCCESSFUL DELIVERABLES WILL BE A FULL PROPOSAL THAT INCLUDES:</w:t>
      </w:r>
    </w:p>
    <w:p w14:paraId="61B90389" w14:textId="7972D940" w:rsidR="00585CA2" w:rsidRDefault="00585CA2" w:rsidP="00585CA2">
      <w:r>
        <w:tab/>
      </w:r>
    </w:p>
    <w:p w14:paraId="57C29F9C" w14:textId="6FF05646" w:rsidR="009F1760" w:rsidRPr="009F1760" w:rsidRDefault="009F1760" w:rsidP="009F176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</w:rPr>
      </w:pPr>
      <w:r w:rsidRPr="009F1760">
        <w:rPr>
          <w:rFonts w:ascii="Calibri" w:eastAsia="Times New Roman" w:hAnsi="Calibri" w:cs="Calibri"/>
          <w:color w:val="000000"/>
        </w:rPr>
        <w:t xml:space="preserve">The text of a solicitation to which a proposal will be submitted. If planning a proposal for a future </w:t>
      </w:r>
      <w:r w:rsidRPr="009F1760">
        <w:rPr>
          <w:rFonts w:ascii="Calibri" w:eastAsia="Times New Roman" w:hAnsi="Calibri" w:cs="Calibri"/>
          <w:color w:val="000000"/>
        </w:rPr>
        <w:tab/>
      </w:r>
      <w:r w:rsidRPr="009F1760">
        <w:rPr>
          <w:rFonts w:ascii="Calibri" w:eastAsia="Times New Roman" w:hAnsi="Calibri" w:cs="Calibri"/>
          <w:color w:val="000000"/>
        </w:rPr>
        <w:tab/>
      </w:r>
      <w:r w:rsidRPr="009F1760">
        <w:rPr>
          <w:rFonts w:ascii="Calibri" w:eastAsia="Times New Roman" w:hAnsi="Calibri" w:cs="Calibri"/>
          <w:color w:val="000000"/>
        </w:rPr>
        <w:tab/>
        <w:t>solicitation, then the text of an expired prior solicitation is acceptable. </w:t>
      </w:r>
    </w:p>
    <w:p w14:paraId="59115C93" w14:textId="77777777" w:rsidR="009F1760" w:rsidRPr="009F1760" w:rsidRDefault="009F1760" w:rsidP="009F1760">
      <w:pPr>
        <w:pStyle w:val="ListParagraph"/>
        <w:ind w:left="1080"/>
        <w:rPr>
          <w:rFonts w:ascii="Calibri" w:eastAsia="Times New Roman" w:hAnsi="Calibri" w:cs="Calibri"/>
          <w:color w:val="000000"/>
        </w:rPr>
      </w:pPr>
    </w:p>
    <w:p w14:paraId="6A0DE770" w14:textId="29D45743" w:rsidR="009F1760" w:rsidRDefault="009F1760" w:rsidP="009F1760">
      <w:pPr>
        <w:pStyle w:val="ListParagraph"/>
        <w:numPr>
          <w:ilvl w:val="0"/>
          <w:numId w:val="6"/>
        </w:numPr>
      </w:pPr>
      <w:r>
        <w:t xml:space="preserve">A description of the path towards a CAES Center for Excellence, including Vision and Mission (For </w:t>
      </w:r>
      <w:r>
        <w:tab/>
        <w:t xml:space="preserve">example: </w:t>
      </w:r>
      <w:hyperlink r:id="rId8" w:history="1">
        <w:r w:rsidRPr="00EA4C41">
          <w:rPr>
            <w:rStyle w:val="Hyperlink"/>
          </w:rPr>
          <w:t>https://nsf.gov/eng/eec/erc.jsp</w:t>
        </w:r>
      </w:hyperlink>
      <w:r>
        <w:t xml:space="preserve">) – </w:t>
      </w:r>
      <w:r w:rsidRPr="009F1760">
        <w:rPr>
          <w:i/>
          <w:iCs/>
        </w:rPr>
        <w:t xml:space="preserve">May be modified for DOE EFRC preproposals, DOD </w:t>
      </w:r>
      <w:r>
        <w:rPr>
          <w:i/>
          <w:iCs/>
        </w:rPr>
        <w:tab/>
      </w:r>
      <w:r w:rsidRPr="009F1760">
        <w:rPr>
          <w:i/>
          <w:iCs/>
        </w:rPr>
        <w:t>Multidisciplinary University Research Initiative, DOE Implementation Grants, and others.</w:t>
      </w:r>
    </w:p>
    <w:p w14:paraId="0E537D3E" w14:textId="77777777" w:rsidR="009F1760" w:rsidRPr="009F1760" w:rsidRDefault="009F1760" w:rsidP="009F1760">
      <w:pPr>
        <w:pStyle w:val="ListParagraph"/>
        <w:ind w:left="1080"/>
        <w:rPr>
          <w:rFonts w:ascii="Calibri" w:eastAsia="Times New Roman" w:hAnsi="Calibri" w:cs="Calibri"/>
          <w:color w:val="000000"/>
        </w:rPr>
      </w:pPr>
    </w:p>
    <w:p w14:paraId="60720AEC" w14:textId="71A1952E" w:rsidR="009F1760" w:rsidRPr="009F1760" w:rsidRDefault="009F1760" w:rsidP="009F1760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</w:rPr>
      </w:pPr>
      <w:r w:rsidRPr="009F1760">
        <w:rPr>
          <w:rFonts w:ascii="Calibri" w:eastAsia="Times New Roman" w:hAnsi="Calibri" w:cs="Calibri"/>
          <w:b/>
          <w:bCs/>
          <w:i/>
          <w:iCs/>
          <w:color w:val="000000"/>
        </w:rPr>
        <w:t>A full proposal that meets requirements of the solicitation</w:t>
      </w:r>
      <w:r w:rsidRPr="009F1760">
        <w:rPr>
          <w:rFonts w:ascii="Calibri" w:eastAsia="Times New Roman" w:hAnsi="Calibri" w:cs="Calibri"/>
          <w:color w:val="000000"/>
        </w:rPr>
        <w:t>. </w:t>
      </w:r>
    </w:p>
    <w:p w14:paraId="718721EB" w14:textId="77777777" w:rsidR="009F1760" w:rsidRPr="009F1760" w:rsidRDefault="009F1760" w:rsidP="009F1760">
      <w:pPr>
        <w:pStyle w:val="ListParagraph"/>
        <w:ind w:left="1080"/>
        <w:rPr>
          <w:rFonts w:ascii="Calibri" w:eastAsia="Times New Roman" w:hAnsi="Calibri" w:cs="Calibri"/>
          <w:color w:val="000000"/>
        </w:rPr>
      </w:pPr>
    </w:p>
    <w:p w14:paraId="1219E51E" w14:textId="52245D3C" w:rsidR="009F1760" w:rsidRPr="009F1760" w:rsidRDefault="009F1760" w:rsidP="009F1760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</w:rPr>
      </w:pPr>
      <w:r w:rsidRPr="009F1760">
        <w:rPr>
          <w:rFonts w:ascii="Calibri" w:eastAsia="Times New Roman" w:hAnsi="Calibri" w:cs="Calibri"/>
          <w:color w:val="000000"/>
        </w:rPr>
        <w:t xml:space="preserve">A letter of commitment signed by the subcontract awardee to submit the proposal and share </w:t>
      </w:r>
      <w:r w:rsidRPr="009F1760">
        <w:rPr>
          <w:rFonts w:ascii="Calibri" w:eastAsia="Times New Roman" w:hAnsi="Calibri" w:cs="Calibri"/>
          <w:color w:val="000000"/>
        </w:rPr>
        <w:tab/>
      </w:r>
      <w:r w:rsidRPr="009F1760">
        <w:rPr>
          <w:rFonts w:ascii="Calibri" w:eastAsia="Times New Roman" w:hAnsi="Calibri" w:cs="Calibri"/>
          <w:color w:val="000000"/>
        </w:rPr>
        <w:tab/>
        <w:t>reviewer comments with the Executive Board.</w:t>
      </w:r>
    </w:p>
    <w:p w14:paraId="4F7CDCA8" w14:textId="77777777" w:rsidR="009F1760" w:rsidRPr="009F1760" w:rsidRDefault="009F1760" w:rsidP="009F1760">
      <w:pPr>
        <w:rPr>
          <w:rFonts w:ascii="Calibri" w:eastAsia="Times New Roman" w:hAnsi="Calibri" w:cs="Calibri"/>
          <w:color w:val="000000"/>
        </w:rPr>
      </w:pPr>
    </w:p>
    <w:p w14:paraId="06775A29" w14:textId="5819B3F7" w:rsidR="009F1760" w:rsidRPr="009F1760" w:rsidRDefault="009F1760" w:rsidP="009F1760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</w:rPr>
      </w:pPr>
      <w:r w:rsidRPr="009F1760">
        <w:rPr>
          <w:rFonts w:ascii="Calibri" w:eastAsia="Times New Roman" w:hAnsi="Calibri" w:cs="Calibri"/>
          <w:color w:val="000000"/>
        </w:rPr>
        <w:t xml:space="preserve">All CV's or </w:t>
      </w:r>
      <w:proofErr w:type="spellStart"/>
      <w:r w:rsidRPr="009F1760">
        <w:rPr>
          <w:rFonts w:ascii="Calibri" w:eastAsia="Times New Roman" w:hAnsi="Calibri" w:cs="Calibri"/>
          <w:color w:val="000000"/>
        </w:rPr>
        <w:t>biosketches</w:t>
      </w:r>
      <w:proofErr w:type="spellEnd"/>
      <w:r w:rsidRPr="009F1760">
        <w:rPr>
          <w:rFonts w:ascii="Calibri" w:eastAsia="Times New Roman" w:hAnsi="Calibri" w:cs="Calibri"/>
          <w:color w:val="000000"/>
        </w:rPr>
        <w:t xml:space="preserve"> of participants, in the format required by the solicitation for proposal </w:t>
      </w:r>
      <w:r w:rsidRPr="009F1760">
        <w:rPr>
          <w:rFonts w:ascii="Calibri" w:eastAsia="Times New Roman" w:hAnsi="Calibri" w:cs="Calibri"/>
          <w:color w:val="000000"/>
        </w:rPr>
        <w:tab/>
      </w:r>
      <w:r w:rsidRPr="009F1760">
        <w:rPr>
          <w:rFonts w:ascii="Calibri" w:eastAsia="Times New Roman" w:hAnsi="Calibri" w:cs="Calibri"/>
          <w:color w:val="000000"/>
        </w:rPr>
        <w:tab/>
        <w:t>submission. </w:t>
      </w:r>
    </w:p>
    <w:p w14:paraId="7554E04E" w14:textId="77777777" w:rsidR="009F1760" w:rsidRPr="009F1760" w:rsidRDefault="009F1760" w:rsidP="009F1760">
      <w:pPr>
        <w:rPr>
          <w:rFonts w:ascii="Calibri" w:eastAsia="Times New Roman" w:hAnsi="Calibri" w:cs="Calibri"/>
          <w:color w:val="000000"/>
        </w:rPr>
      </w:pPr>
    </w:p>
    <w:p w14:paraId="2BCA9B75" w14:textId="6D19FD85" w:rsidR="009F1760" w:rsidRPr="009F1760" w:rsidRDefault="009F1760" w:rsidP="009F1760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</w:rPr>
      </w:pPr>
      <w:r w:rsidRPr="009F1760">
        <w:rPr>
          <w:rFonts w:ascii="Calibri" w:eastAsia="Times New Roman" w:hAnsi="Calibri" w:cs="Calibri"/>
          <w:color w:val="000000"/>
        </w:rPr>
        <w:t xml:space="preserve">Developed timeline addressing work to be completed, deliverables, and proposal completion &amp; </w:t>
      </w:r>
      <w:r w:rsidRPr="009F1760">
        <w:rPr>
          <w:rFonts w:ascii="Calibri" w:eastAsia="Times New Roman" w:hAnsi="Calibri" w:cs="Calibri"/>
          <w:color w:val="000000"/>
        </w:rPr>
        <w:tab/>
      </w:r>
      <w:r w:rsidRPr="009F1760">
        <w:rPr>
          <w:rFonts w:ascii="Calibri" w:eastAsia="Times New Roman" w:hAnsi="Calibri" w:cs="Calibri"/>
          <w:color w:val="000000"/>
        </w:rPr>
        <w:tab/>
        <w:t>submission. </w:t>
      </w:r>
    </w:p>
    <w:p w14:paraId="58D0D8C7" w14:textId="77777777" w:rsidR="009F1760" w:rsidRPr="009F1760" w:rsidRDefault="009F1760" w:rsidP="009F1760">
      <w:pPr>
        <w:rPr>
          <w:rFonts w:ascii="Calibri" w:eastAsia="Times New Roman" w:hAnsi="Calibri" w:cs="Calibri"/>
          <w:color w:val="000000"/>
        </w:rPr>
      </w:pPr>
    </w:p>
    <w:p w14:paraId="16BA92B3" w14:textId="77777777" w:rsidR="009F1760" w:rsidRPr="009F1760" w:rsidRDefault="009F1760" w:rsidP="009F1760">
      <w:pPr>
        <w:ind w:firstLine="720"/>
        <w:rPr>
          <w:rFonts w:ascii="Calibri" w:eastAsia="Times New Roman" w:hAnsi="Calibri" w:cs="Calibri"/>
          <w:color w:val="000000"/>
        </w:rPr>
      </w:pPr>
      <w:r w:rsidRPr="009F1760">
        <w:rPr>
          <w:rFonts w:ascii="Calibri" w:eastAsia="Times New Roman" w:hAnsi="Calibri" w:cs="Calibri"/>
          <w:color w:val="000000"/>
        </w:rPr>
        <w:t>5. Proposed contingency plan for revising and resubmission</w:t>
      </w:r>
    </w:p>
    <w:p w14:paraId="284F3AFE" w14:textId="77777777" w:rsidR="009F1760" w:rsidRDefault="009F1760" w:rsidP="009F1760">
      <w:r>
        <w:rPr>
          <w:rFonts w:ascii="Calibri" w:eastAsia="Times New Roman" w:hAnsi="Calibri" w:cs="Calibri"/>
          <w:color w:val="000000"/>
        </w:rPr>
        <w:tab/>
      </w:r>
    </w:p>
    <w:p w14:paraId="1639F741" w14:textId="77777777" w:rsidR="009F1760" w:rsidRDefault="009F1760" w:rsidP="00FF33D9"/>
    <w:p w14:paraId="354E5E29" w14:textId="77777777" w:rsidR="00E62527" w:rsidRDefault="00E62527" w:rsidP="00FF3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4"/>
      </w:tblGrid>
      <w:tr w:rsidR="00A205A2" w:rsidRPr="00A205A2" w14:paraId="2104717A" w14:textId="77777777" w:rsidTr="00A205A2">
        <w:trPr>
          <w:trHeight w:val="526"/>
        </w:trPr>
        <w:tc>
          <w:tcPr>
            <w:tcW w:w="6474" w:type="dxa"/>
          </w:tcPr>
          <w:p w14:paraId="37D27CA4" w14:textId="6DD2065C" w:rsidR="00A205A2" w:rsidRPr="00A205A2" w:rsidRDefault="00A205A2" w:rsidP="00A205A2">
            <w:r w:rsidRPr="00A205A2">
              <w:rPr>
                <w:b/>
                <w:bCs/>
              </w:rPr>
              <w:lastRenderedPageBreak/>
              <w:t>Funding Duration:</w:t>
            </w:r>
            <w:r w:rsidRPr="00A205A2">
              <w:t xml:space="preserve"> </w:t>
            </w:r>
            <w:r>
              <w:t xml:space="preserve">                 </w:t>
            </w:r>
            <w:r w:rsidRPr="00A205A2">
              <w:t>1 Year</w:t>
            </w:r>
          </w:p>
        </w:tc>
      </w:tr>
      <w:tr w:rsidR="00A205A2" w:rsidRPr="00A205A2" w14:paraId="14A9087A" w14:textId="77777777" w:rsidTr="00A205A2">
        <w:trPr>
          <w:trHeight w:val="526"/>
        </w:trPr>
        <w:tc>
          <w:tcPr>
            <w:tcW w:w="6474" w:type="dxa"/>
          </w:tcPr>
          <w:p w14:paraId="42821D40" w14:textId="5850D675" w:rsidR="00A205A2" w:rsidRPr="00A205A2" w:rsidRDefault="00A205A2" w:rsidP="00A205A2">
            <w:r w:rsidRPr="00A205A2">
              <w:rPr>
                <w:b/>
                <w:bCs/>
              </w:rPr>
              <w:t>Funding Allowance:</w:t>
            </w:r>
            <w:r w:rsidRPr="00A205A2">
              <w:t xml:space="preserve"> </w:t>
            </w:r>
            <w:r>
              <w:t xml:space="preserve">              </w:t>
            </w:r>
            <w:r w:rsidRPr="00A205A2">
              <w:t>Up to $50,000</w:t>
            </w:r>
            <w:r w:rsidR="00861C6C">
              <w:t xml:space="preserve"> (1 Award)</w:t>
            </w:r>
          </w:p>
        </w:tc>
      </w:tr>
      <w:tr w:rsidR="00A205A2" w:rsidRPr="00A205A2" w14:paraId="0E1C4EF1" w14:textId="77777777" w:rsidTr="00A205A2">
        <w:trPr>
          <w:trHeight w:val="526"/>
        </w:trPr>
        <w:tc>
          <w:tcPr>
            <w:tcW w:w="6474" w:type="dxa"/>
          </w:tcPr>
          <w:p w14:paraId="33B6FD33" w14:textId="45E11057" w:rsidR="00A205A2" w:rsidRPr="00A205A2" w:rsidRDefault="00A205A2" w:rsidP="00A205A2">
            <w:pPr>
              <w:rPr>
                <w:b/>
                <w:bCs/>
              </w:rPr>
            </w:pPr>
            <w:r w:rsidRPr="00A205A2">
              <w:rPr>
                <w:b/>
                <w:bCs/>
              </w:rPr>
              <w:t xml:space="preserve">Application Deadline: </w:t>
            </w:r>
            <w:r>
              <w:rPr>
                <w:b/>
                <w:bCs/>
              </w:rPr>
              <w:t xml:space="preserve">           </w:t>
            </w:r>
            <w:r w:rsidRPr="00A205A2">
              <w:t xml:space="preserve">April </w:t>
            </w:r>
            <w:r w:rsidR="00A05AD4">
              <w:t>22</w:t>
            </w:r>
            <w:r w:rsidRPr="00A205A2">
              <w:t>, 2021</w:t>
            </w:r>
          </w:p>
        </w:tc>
      </w:tr>
      <w:tr w:rsidR="00A205A2" w:rsidRPr="00A205A2" w14:paraId="69E94352" w14:textId="77777777" w:rsidTr="00A205A2">
        <w:trPr>
          <w:trHeight w:val="563"/>
        </w:trPr>
        <w:tc>
          <w:tcPr>
            <w:tcW w:w="6474" w:type="dxa"/>
          </w:tcPr>
          <w:p w14:paraId="6F0D3CFA" w14:textId="43D39608" w:rsidR="00A205A2" w:rsidRPr="00A205A2" w:rsidRDefault="00A205A2" w:rsidP="00A205A2">
            <w:r w:rsidRPr="00A205A2">
              <w:rPr>
                <w:b/>
                <w:bCs/>
              </w:rPr>
              <w:t>Selection Announcement:</w:t>
            </w:r>
            <w:r w:rsidRPr="00A205A2">
              <w:t xml:space="preserve"> </w:t>
            </w:r>
            <w:r>
              <w:t xml:space="preserve">   </w:t>
            </w:r>
            <w:r w:rsidRPr="00A205A2">
              <w:t xml:space="preserve">May </w:t>
            </w:r>
            <w:r w:rsidR="00A05AD4">
              <w:t>8</w:t>
            </w:r>
            <w:r w:rsidRPr="00A205A2">
              <w:t>, 2021</w:t>
            </w:r>
          </w:p>
        </w:tc>
      </w:tr>
      <w:tr w:rsidR="00A205A2" w:rsidRPr="00A205A2" w14:paraId="0D0C2206" w14:textId="77777777" w:rsidTr="00A205A2">
        <w:trPr>
          <w:trHeight w:val="488"/>
        </w:trPr>
        <w:tc>
          <w:tcPr>
            <w:tcW w:w="6474" w:type="dxa"/>
          </w:tcPr>
          <w:p w14:paraId="34C88E69" w14:textId="65F6128A" w:rsidR="00A205A2" w:rsidRPr="00A205A2" w:rsidRDefault="00A205A2" w:rsidP="00A205A2">
            <w:pPr>
              <w:rPr>
                <w:b/>
                <w:bCs/>
              </w:rPr>
            </w:pPr>
            <w:r w:rsidRPr="00A205A2">
              <w:rPr>
                <w:b/>
                <w:bCs/>
              </w:rPr>
              <w:t xml:space="preserve">Proposed Start/End Date: </w:t>
            </w:r>
            <w:r>
              <w:rPr>
                <w:b/>
                <w:bCs/>
              </w:rPr>
              <w:t xml:space="preserve">   </w:t>
            </w:r>
            <w:r w:rsidRPr="00A205A2">
              <w:t xml:space="preserve">June </w:t>
            </w:r>
            <w:r w:rsidR="00A05AD4">
              <w:t>8</w:t>
            </w:r>
            <w:r w:rsidRPr="00A205A2">
              <w:t>, 2021 – May 31, 2022</w:t>
            </w:r>
          </w:p>
        </w:tc>
      </w:tr>
    </w:tbl>
    <w:p w14:paraId="10600762" w14:textId="0BA145C6" w:rsidR="00A205A2" w:rsidRPr="00B705BB" w:rsidRDefault="00A205A2" w:rsidP="00E646A4">
      <w:pPr>
        <w:pStyle w:val="NormalWeb"/>
        <w:rPr>
          <w:rFonts w:asciiTheme="minorHAnsi" w:hAnsiTheme="minorHAnsi" w:cstheme="minorHAnsi"/>
          <w:i/>
          <w:iCs/>
        </w:rPr>
      </w:pPr>
      <w:r w:rsidRPr="00A205A2">
        <w:rPr>
          <w:rFonts w:asciiTheme="minorHAnsi" w:hAnsiTheme="minorHAnsi" w:cstheme="minorHAnsi"/>
          <w:i/>
          <w:iCs/>
        </w:rPr>
        <w:t xml:space="preserve">Applications should be submitted in </w:t>
      </w:r>
      <w:r w:rsidRPr="00A205A2">
        <w:rPr>
          <w:rFonts w:asciiTheme="minorHAnsi" w:hAnsiTheme="minorHAnsi" w:cstheme="minorHAnsi"/>
          <w:b/>
          <w:bCs/>
          <w:i/>
          <w:iCs/>
        </w:rPr>
        <w:t xml:space="preserve">PDF format </w:t>
      </w:r>
      <w:r w:rsidRPr="00A205A2">
        <w:rPr>
          <w:rFonts w:asciiTheme="minorHAnsi" w:hAnsiTheme="minorHAnsi" w:cstheme="minorHAnsi"/>
          <w:i/>
          <w:iCs/>
        </w:rPr>
        <w:t xml:space="preserve">to the CAES Energy Frontiers Coordinator, Dr. Hillary Fishler at </w:t>
      </w:r>
      <w:hyperlink r:id="rId9" w:history="1">
        <w:r w:rsidRPr="00A205A2">
          <w:rPr>
            <w:rStyle w:val="Hyperlink"/>
            <w:rFonts w:asciiTheme="minorHAnsi" w:hAnsiTheme="minorHAnsi" w:cstheme="minorHAnsi"/>
            <w:i/>
            <w:iCs/>
          </w:rPr>
          <w:t>Hillary.Fishler@inl.gov</w:t>
        </w:r>
      </w:hyperlink>
      <w:r w:rsidRPr="00A205A2">
        <w:rPr>
          <w:rFonts w:asciiTheme="minorHAnsi" w:hAnsiTheme="minorHAnsi" w:cstheme="minorHAnsi"/>
          <w:i/>
          <w:iCs/>
        </w:rPr>
        <w:t xml:space="preserve"> by 11:59pm on April </w:t>
      </w:r>
      <w:r w:rsidR="00755326">
        <w:rPr>
          <w:rFonts w:asciiTheme="minorHAnsi" w:hAnsiTheme="minorHAnsi" w:cstheme="minorHAnsi"/>
          <w:i/>
          <w:iCs/>
        </w:rPr>
        <w:t>22</w:t>
      </w:r>
      <w:r w:rsidRPr="00A205A2">
        <w:rPr>
          <w:rFonts w:asciiTheme="minorHAnsi" w:hAnsiTheme="minorHAnsi" w:cstheme="minorHAnsi"/>
          <w:i/>
          <w:iCs/>
        </w:rPr>
        <w:t>, 2021.</w:t>
      </w:r>
    </w:p>
    <w:p w14:paraId="3B29741B" w14:textId="1F1EAE2C" w:rsidR="00E646A4" w:rsidRPr="00E646A4" w:rsidRDefault="00A205A2" w:rsidP="00E646A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2B6830" w:rsidRPr="00E646A4">
        <w:rPr>
          <w:rFonts w:asciiTheme="minorHAnsi" w:hAnsiTheme="minorHAnsi" w:cstheme="minorHAnsi"/>
        </w:rPr>
        <w:t xml:space="preserve">Note: </w:t>
      </w:r>
      <w:r w:rsidR="00E646A4">
        <w:rPr>
          <w:rFonts w:asciiTheme="minorHAnsi" w:hAnsiTheme="minorHAnsi" w:cstheme="minorHAnsi"/>
        </w:rPr>
        <w:t xml:space="preserve">Energy Frontiers Challenge </w:t>
      </w:r>
      <w:r w:rsidR="002B6830" w:rsidRPr="00E646A4">
        <w:rPr>
          <w:rFonts w:asciiTheme="minorHAnsi" w:hAnsiTheme="minorHAnsi" w:cstheme="minorHAnsi"/>
        </w:rPr>
        <w:t>Funding may not be used to</w:t>
      </w:r>
      <w:r w:rsidR="00E646A4">
        <w:rPr>
          <w:rFonts w:asciiTheme="minorHAnsi" w:hAnsiTheme="minorHAnsi" w:cstheme="minorHAnsi"/>
        </w:rPr>
        <w:t>:</w:t>
      </w:r>
    </w:p>
    <w:p w14:paraId="405807A0" w14:textId="77777777" w:rsidR="00E646A4" w:rsidRPr="00E646A4" w:rsidRDefault="00E646A4" w:rsidP="00E37691">
      <w:pPr>
        <w:pStyle w:val="NormalWeb"/>
        <w:rPr>
          <w:rFonts w:asciiTheme="minorHAnsi" w:hAnsiTheme="minorHAnsi" w:cstheme="minorHAnsi"/>
          <w:color w:val="000000"/>
        </w:rPr>
      </w:pPr>
      <w:r w:rsidRPr="00E646A4">
        <w:rPr>
          <w:rFonts w:asciiTheme="minorHAnsi" w:hAnsiTheme="minorHAnsi" w:cstheme="minorHAnsi"/>
          <w:color w:val="000000"/>
        </w:rPr>
        <w:t xml:space="preserve">o Co-mingle with Direct-funded INL Programs or </w:t>
      </w:r>
      <w:proofErr w:type="gramStart"/>
      <w:r w:rsidRPr="00E646A4">
        <w:rPr>
          <w:rFonts w:asciiTheme="minorHAnsi" w:hAnsiTheme="minorHAnsi" w:cstheme="minorHAnsi"/>
          <w:color w:val="000000"/>
        </w:rPr>
        <w:t>LDRDs;</w:t>
      </w:r>
      <w:proofErr w:type="gramEnd"/>
    </w:p>
    <w:p w14:paraId="0C295A79" w14:textId="77777777" w:rsidR="00E646A4" w:rsidRPr="00E646A4" w:rsidRDefault="00E646A4" w:rsidP="00E37691">
      <w:pPr>
        <w:pStyle w:val="NormalWeb"/>
        <w:rPr>
          <w:rFonts w:asciiTheme="minorHAnsi" w:hAnsiTheme="minorHAnsi" w:cstheme="minorHAnsi"/>
          <w:color w:val="000000"/>
        </w:rPr>
      </w:pPr>
      <w:r w:rsidRPr="00E646A4">
        <w:rPr>
          <w:rFonts w:asciiTheme="minorHAnsi" w:hAnsiTheme="minorHAnsi" w:cstheme="minorHAnsi"/>
          <w:color w:val="000000"/>
        </w:rPr>
        <w:t xml:space="preserve">o Collect data or perform R&amp;D </w:t>
      </w:r>
      <w:proofErr w:type="gramStart"/>
      <w:r w:rsidRPr="00E646A4">
        <w:rPr>
          <w:rFonts w:asciiTheme="minorHAnsi" w:hAnsiTheme="minorHAnsi" w:cstheme="minorHAnsi"/>
          <w:color w:val="000000"/>
        </w:rPr>
        <w:t>activities;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</w:p>
    <w:p w14:paraId="2980832A" w14:textId="77777777" w:rsidR="00E646A4" w:rsidRPr="00E646A4" w:rsidRDefault="00E646A4" w:rsidP="00E37691">
      <w:pPr>
        <w:pStyle w:val="NormalWeb"/>
        <w:rPr>
          <w:rFonts w:asciiTheme="minorHAnsi" w:hAnsiTheme="minorHAnsi" w:cstheme="minorHAnsi"/>
          <w:color w:val="000000"/>
        </w:rPr>
      </w:pPr>
      <w:r w:rsidRPr="00E646A4">
        <w:rPr>
          <w:rFonts w:asciiTheme="minorHAnsi" w:hAnsiTheme="minorHAnsi" w:cstheme="minorHAnsi"/>
          <w:color w:val="000000"/>
        </w:rPr>
        <w:t>o Purchase equipment or upgrades;</w:t>
      </w:r>
      <w:r>
        <w:rPr>
          <w:rFonts w:asciiTheme="minorHAnsi" w:hAnsiTheme="minorHAnsi" w:cstheme="minorHAnsi"/>
          <w:color w:val="000000"/>
        </w:rPr>
        <w:t xml:space="preserve"> facility upgrades</w:t>
      </w:r>
    </w:p>
    <w:p w14:paraId="4234A65E" w14:textId="77777777" w:rsidR="00E646A4" w:rsidRPr="00E646A4" w:rsidRDefault="00E646A4" w:rsidP="00E37691">
      <w:pPr>
        <w:pStyle w:val="NormalWeb"/>
        <w:rPr>
          <w:rFonts w:asciiTheme="minorHAnsi" w:hAnsiTheme="minorHAnsi" w:cstheme="minorHAnsi"/>
          <w:color w:val="000000"/>
        </w:rPr>
      </w:pPr>
      <w:r w:rsidRPr="00E646A4">
        <w:rPr>
          <w:rFonts w:asciiTheme="minorHAnsi" w:hAnsiTheme="minorHAnsi" w:cstheme="minorHAnsi"/>
          <w:color w:val="000000"/>
        </w:rPr>
        <w:t xml:space="preserve">o Memberships to professional societies and </w:t>
      </w:r>
      <w:proofErr w:type="gramStart"/>
      <w:r w:rsidRPr="00E646A4">
        <w:rPr>
          <w:rFonts w:asciiTheme="minorHAnsi" w:hAnsiTheme="minorHAnsi" w:cstheme="minorHAnsi"/>
          <w:color w:val="000000"/>
        </w:rPr>
        <w:t>subscriptions;</w:t>
      </w:r>
      <w:proofErr w:type="gramEnd"/>
    </w:p>
    <w:p w14:paraId="78DF4241" w14:textId="77777777" w:rsidR="00E646A4" w:rsidRPr="00E646A4" w:rsidRDefault="00E646A4" w:rsidP="00E37691">
      <w:pPr>
        <w:pStyle w:val="NormalWeb"/>
        <w:rPr>
          <w:rFonts w:asciiTheme="minorHAnsi" w:hAnsiTheme="minorHAnsi" w:cstheme="minorHAnsi"/>
          <w:color w:val="000000"/>
        </w:rPr>
      </w:pPr>
      <w:r w:rsidRPr="00E646A4">
        <w:rPr>
          <w:rFonts w:asciiTheme="minorHAnsi" w:hAnsiTheme="minorHAnsi" w:cstheme="minorHAnsi"/>
          <w:color w:val="000000"/>
        </w:rPr>
        <w:t xml:space="preserve">o Development of licenses, spinoffs or technology </w:t>
      </w:r>
      <w:proofErr w:type="gramStart"/>
      <w:r w:rsidRPr="00E646A4">
        <w:rPr>
          <w:rFonts w:asciiTheme="minorHAnsi" w:hAnsiTheme="minorHAnsi" w:cstheme="minorHAnsi"/>
          <w:color w:val="000000"/>
        </w:rPr>
        <w:t>commercialization;</w:t>
      </w:r>
      <w:proofErr w:type="gramEnd"/>
    </w:p>
    <w:p w14:paraId="27FDBD36" w14:textId="770C8D72" w:rsidR="009E5B51" w:rsidRDefault="00E646A4" w:rsidP="00E37691">
      <w:pPr>
        <w:pStyle w:val="NormalWeb"/>
        <w:rPr>
          <w:rFonts w:asciiTheme="minorHAnsi" w:hAnsiTheme="minorHAnsi" w:cstheme="minorHAnsi"/>
          <w:color w:val="000000"/>
        </w:rPr>
      </w:pPr>
      <w:r w:rsidRPr="00E646A4">
        <w:rPr>
          <w:rFonts w:asciiTheme="minorHAnsi" w:hAnsiTheme="minorHAnsi" w:cstheme="minorHAnsi"/>
          <w:color w:val="000000"/>
        </w:rPr>
        <w:t>o Recruiting, hiring, or relocating new employees.</w:t>
      </w:r>
    </w:p>
    <w:sectPr w:rsidR="009E5B51" w:rsidSect="009F7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658D" w14:textId="77777777" w:rsidR="007476C0" w:rsidRDefault="007476C0" w:rsidP="00E62527">
      <w:r>
        <w:separator/>
      </w:r>
    </w:p>
  </w:endnote>
  <w:endnote w:type="continuationSeparator" w:id="0">
    <w:p w14:paraId="441DB282" w14:textId="77777777" w:rsidR="007476C0" w:rsidRDefault="007476C0" w:rsidP="00E62527">
      <w:r>
        <w:continuationSeparator/>
      </w:r>
    </w:p>
  </w:endnote>
  <w:endnote w:id="1">
    <w:p w14:paraId="0431EDBC" w14:textId="77777777" w:rsidR="00B705BB" w:rsidRDefault="00B705BB" w:rsidP="00B705BB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7929B2">
          <w:rPr>
            <w:rStyle w:val="Hyperlink"/>
          </w:rPr>
          <w:t>https://www.commerce.gov/sites/default/files/2020-01/Critical_Minerals_Strategy_Final.pdf</w:t>
        </w:r>
      </w:hyperlink>
    </w:p>
    <w:p w14:paraId="0A79F33B" w14:textId="77777777" w:rsidR="00B705BB" w:rsidRDefault="00B705BB" w:rsidP="00B705BB">
      <w:pPr>
        <w:pStyle w:val="EndnoteText"/>
      </w:pPr>
    </w:p>
  </w:endnote>
  <w:endnote w:id="2">
    <w:p w14:paraId="0374DF2D" w14:textId="77777777" w:rsidR="00B705BB" w:rsidRDefault="00B705BB" w:rsidP="00B705BB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7929B2">
          <w:rPr>
            <w:rStyle w:val="Hyperlink"/>
          </w:rPr>
          <w:t>https://www.irena.org/-/media/Files/IRENA/Agency/Publication/2017/Jun/IRENA_Energy_Transition_Innovation_2017.pdf</w:t>
        </w:r>
      </w:hyperlink>
    </w:p>
    <w:p w14:paraId="35A2726D" w14:textId="77777777" w:rsidR="00B705BB" w:rsidRDefault="00B705BB" w:rsidP="00B705BB">
      <w:pPr>
        <w:pStyle w:val="EndnoteText"/>
      </w:pPr>
    </w:p>
  </w:endnote>
  <w:endnote w:id="3">
    <w:p w14:paraId="340C9877" w14:textId="77777777" w:rsidR="00B705BB" w:rsidRDefault="00B705BB" w:rsidP="00B705BB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7929B2">
          <w:rPr>
            <w:rStyle w:val="Hyperlink"/>
          </w:rPr>
          <w:t>https://www.energy.gov/fe/articles/department-energy-issues-request-information-materials-withstand-harsh-environments</w:t>
        </w:r>
      </w:hyperlink>
    </w:p>
    <w:p w14:paraId="6241D10A" w14:textId="77777777" w:rsidR="00B705BB" w:rsidRDefault="00B705BB" w:rsidP="00B705B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6612" w14:textId="77777777" w:rsidR="007476C0" w:rsidRDefault="007476C0" w:rsidP="00E62527">
      <w:r>
        <w:separator/>
      </w:r>
    </w:p>
  </w:footnote>
  <w:footnote w:type="continuationSeparator" w:id="0">
    <w:p w14:paraId="732E9343" w14:textId="77777777" w:rsidR="007476C0" w:rsidRDefault="007476C0" w:rsidP="00E6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BA8"/>
    <w:multiLevelType w:val="hybridMultilevel"/>
    <w:tmpl w:val="2AC8AD18"/>
    <w:lvl w:ilvl="0" w:tplc="E182C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24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E4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ED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E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88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2F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E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C77CB9"/>
    <w:multiLevelType w:val="hybridMultilevel"/>
    <w:tmpl w:val="CB609CA8"/>
    <w:lvl w:ilvl="0" w:tplc="B97C666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453F7A"/>
    <w:multiLevelType w:val="multilevel"/>
    <w:tmpl w:val="00DAFACE"/>
    <w:lvl w:ilvl="0"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" w15:restartNumberingAfterBreak="0">
    <w:nsid w:val="5EE4113A"/>
    <w:multiLevelType w:val="hybridMultilevel"/>
    <w:tmpl w:val="C588A7BE"/>
    <w:lvl w:ilvl="0" w:tplc="D2E07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296B19"/>
    <w:multiLevelType w:val="hybridMultilevel"/>
    <w:tmpl w:val="68BEB672"/>
    <w:lvl w:ilvl="0" w:tplc="BECE6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283"/>
    <w:multiLevelType w:val="hybridMultilevel"/>
    <w:tmpl w:val="7D627D08"/>
    <w:lvl w:ilvl="0" w:tplc="1A2C6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06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3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09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4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25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F04C19"/>
    <w:multiLevelType w:val="hybridMultilevel"/>
    <w:tmpl w:val="831EA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51"/>
    <w:rsid w:val="0009173D"/>
    <w:rsid w:val="001331B7"/>
    <w:rsid w:val="00165DB5"/>
    <w:rsid w:val="00224F10"/>
    <w:rsid w:val="0025346B"/>
    <w:rsid w:val="00253DB6"/>
    <w:rsid w:val="00274B0F"/>
    <w:rsid w:val="002B6830"/>
    <w:rsid w:val="00306DCB"/>
    <w:rsid w:val="00360F29"/>
    <w:rsid w:val="00512843"/>
    <w:rsid w:val="005324B4"/>
    <w:rsid w:val="00541CB8"/>
    <w:rsid w:val="005641DA"/>
    <w:rsid w:val="005712C0"/>
    <w:rsid w:val="00585CA2"/>
    <w:rsid w:val="00601DAA"/>
    <w:rsid w:val="006959CA"/>
    <w:rsid w:val="00695A08"/>
    <w:rsid w:val="006C121B"/>
    <w:rsid w:val="007238F4"/>
    <w:rsid w:val="007476C0"/>
    <w:rsid w:val="00755326"/>
    <w:rsid w:val="00796F88"/>
    <w:rsid w:val="0084512A"/>
    <w:rsid w:val="00861C6C"/>
    <w:rsid w:val="008A3E65"/>
    <w:rsid w:val="00900149"/>
    <w:rsid w:val="00937EFE"/>
    <w:rsid w:val="00963B6C"/>
    <w:rsid w:val="00984ED8"/>
    <w:rsid w:val="009C2C4F"/>
    <w:rsid w:val="009E5B51"/>
    <w:rsid w:val="009F1760"/>
    <w:rsid w:val="009F7321"/>
    <w:rsid w:val="00A05AD4"/>
    <w:rsid w:val="00A205A2"/>
    <w:rsid w:val="00A747E5"/>
    <w:rsid w:val="00A82826"/>
    <w:rsid w:val="00AC5342"/>
    <w:rsid w:val="00AE13F7"/>
    <w:rsid w:val="00AE361E"/>
    <w:rsid w:val="00AF2D3F"/>
    <w:rsid w:val="00B412E5"/>
    <w:rsid w:val="00B705BB"/>
    <w:rsid w:val="00B854F1"/>
    <w:rsid w:val="00C05F6B"/>
    <w:rsid w:val="00C22BE8"/>
    <w:rsid w:val="00C663D6"/>
    <w:rsid w:val="00CA68C4"/>
    <w:rsid w:val="00D223AD"/>
    <w:rsid w:val="00D2651D"/>
    <w:rsid w:val="00D3547C"/>
    <w:rsid w:val="00DF7A03"/>
    <w:rsid w:val="00E12FE2"/>
    <w:rsid w:val="00E37691"/>
    <w:rsid w:val="00E46233"/>
    <w:rsid w:val="00E57082"/>
    <w:rsid w:val="00E62527"/>
    <w:rsid w:val="00E646A4"/>
    <w:rsid w:val="00E82C8D"/>
    <w:rsid w:val="00E96A55"/>
    <w:rsid w:val="00ED1D49"/>
    <w:rsid w:val="00F7091C"/>
    <w:rsid w:val="00FA4220"/>
    <w:rsid w:val="00FD2EB0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25E3"/>
  <w15:chartTrackingRefBased/>
  <w15:docId w15:val="{10E36057-8E04-D641-A11D-BA11FE7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1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1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41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2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25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5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5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25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25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2527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25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1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5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3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3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77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85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0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34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15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f.gov/eng/eec/erc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esenergy.org/wp-content/uploads/2020/10/Energy-Frontiers-Challen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llary.Fishler@inl.gov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ergy.gov/fe/articles/department-energy-issues-request-information-materials-withstand-harsh-environments" TargetMode="External"/><Relationship Id="rId2" Type="http://schemas.openxmlformats.org/officeDocument/2006/relationships/hyperlink" Target="https://www.irena.org/-/media/Files/IRENA/Agency/Publication/2017/Jun/IRENA_Energy_Transition_Innovation_2017.pdf" TargetMode="External"/><Relationship Id="rId1" Type="http://schemas.openxmlformats.org/officeDocument/2006/relationships/hyperlink" Target="https://www.commerce.gov/sites/default/files/2020-01/Critical_Minerals_Strategy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K. Fishler</dc:creator>
  <cp:keywords/>
  <dc:description/>
  <cp:lastModifiedBy>Matthew M. Evans</cp:lastModifiedBy>
  <cp:revision>4</cp:revision>
  <dcterms:created xsi:type="dcterms:W3CDTF">2021-03-29T20:29:00Z</dcterms:created>
  <dcterms:modified xsi:type="dcterms:W3CDTF">2021-04-01T19:09:00Z</dcterms:modified>
</cp:coreProperties>
</file>